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4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97" w:lineRule="exact"/>
        <w:rPr>
          <w:sz w:val="24"/>
          <w:szCs w:val="24"/>
          <w:color w:val="auto"/>
        </w:rPr>
      </w:pPr>
    </w:p>
    <w:p>
      <w:pPr>
        <w:ind w:left="800" w:hanging="774"/>
        <w:spacing w:after="0"/>
        <w:tabs>
          <w:tab w:leader="none" w:pos="800"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36" w:lineRule="exact"/>
        <w:rPr>
          <w:sz w:val="24"/>
          <w:szCs w:val="24"/>
          <w:color w:val="auto"/>
        </w:rPr>
      </w:pPr>
    </w:p>
    <w:p>
      <w:pPr>
        <w:ind w:left="5920"/>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800" w:hanging="774"/>
        <w:spacing w:after="0"/>
        <w:tabs>
          <w:tab w:leader="none" w:pos="8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2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-5080</wp:posOffset>
            </wp:positionV>
            <wp:extent cx="2687955" cy="934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87955" cy="934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DARÉ BIOSCIENCE, INC.</w:t>
      </w:r>
    </w:p>
    <w:p>
      <w:pPr>
        <w:spacing w:after="0" w:line="8" w:lineRule="exact"/>
        <w:rPr>
          <w:sz w:val="24"/>
          <w:szCs w:val="24"/>
          <w:color w:val="auto"/>
        </w:rPr>
      </w:pPr>
    </w:p>
    <w:p>
      <w:pPr>
        <w:jc w:val="center"/>
        <w:ind w:right="-259"/>
        <w:spacing w:after="0"/>
        <w:rPr>
          <w:sz w:val="20"/>
          <w:szCs w:val="20"/>
          <w:color w:val="auto"/>
        </w:rPr>
      </w:pPr>
      <w:r>
        <w:rPr>
          <w:rFonts w:ascii="Arial" w:cs="Arial" w:eastAsia="Arial" w:hAnsi="Arial"/>
          <w:sz w:val="16"/>
          <w:szCs w:val="16"/>
          <w:color w:val="auto"/>
        </w:rPr>
        <w:t>(Exact Name of Registrant as Specified in its Charter)</w:t>
      </w:r>
    </w:p>
    <w:p>
      <w:pPr>
        <w:spacing w:after="0" w:line="1"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3220" w:type="dxa"/>
            <w:vAlign w:val="bottom"/>
          </w:tcPr>
          <w:p>
            <w:pPr>
              <w:jc w:val="center"/>
              <w:ind w:right="295"/>
              <w:spacing w:after="0"/>
              <w:rPr>
                <w:sz w:val="20"/>
                <w:szCs w:val="20"/>
                <w:color w:val="auto"/>
              </w:rPr>
            </w:pPr>
            <w:r>
              <w:rPr>
                <w:rFonts w:ascii="Arial" w:cs="Arial" w:eastAsia="Arial" w:hAnsi="Arial"/>
                <w:sz w:val="18"/>
                <w:szCs w:val="18"/>
                <w:b w:val="1"/>
                <w:bCs w:val="1"/>
                <w:color w:val="auto"/>
              </w:rPr>
              <w:t>Delaware</w:t>
            </w:r>
          </w:p>
        </w:tc>
        <w:tc>
          <w:tcPr>
            <w:tcW w:w="4900" w:type="dxa"/>
            <w:vAlign w:val="bottom"/>
          </w:tcPr>
          <w:p>
            <w:pPr>
              <w:jc w:val="center"/>
              <w:ind w:right="233"/>
              <w:spacing w:after="0"/>
              <w:rPr>
                <w:sz w:val="20"/>
                <w:szCs w:val="20"/>
                <w:color w:val="auto"/>
              </w:rPr>
            </w:pPr>
            <w:r>
              <w:rPr>
                <w:rFonts w:ascii="Arial" w:cs="Arial" w:eastAsia="Arial" w:hAnsi="Arial"/>
                <w:sz w:val="18"/>
                <w:szCs w:val="18"/>
                <w:b w:val="1"/>
                <w:bCs w:val="1"/>
                <w:color w:val="auto"/>
              </w:rPr>
              <w:t>Commission File No. 001-36395</w:t>
            </w:r>
          </w:p>
        </w:tc>
        <w:tc>
          <w:tcPr>
            <w:tcW w:w="1980" w:type="dxa"/>
            <w:vAlign w:val="bottom"/>
          </w:tcPr>
          <w:p>
            <w:pPr>
              <w:jc w:val="right"/>
              <w:ind w:right="55"/>
              <w:spacing w:after="0"/>
              <w:rPr>
                <w:sz w:val="20"/>
                <w:szCs w:val="20"/>
                <w:color w:val="auto"/>
              </w:rPr>
            </w:pPr>
            <w:r>
              <w:rPr>
                <w:rFonts w:ascii="Arial" w:cs="Arial" w:eastAsia="Arial" w:hAnsi="Arial"/>
                <w:sz w:val="18"/>
                <w:szCs w:val="18"/>
                <w:b w:val="1"/>
                <w:bCs w:val="1"/>
                <w:color w:val="auto"/>
              </w:rPr>
              <w:t>20-4139823</w:t>
            </w:r>
          </w:p>
        </w:tc>
      </w:tr>
      <w:tr>
        <w:trPr>
          <w:trHeight w:val="162"/>
        </w:trPr>
        <w:tc>
          <w:tcPr>
            <w:tcW w:w="3220" w:type="dxa"/>
            <w:vAlign w:val="bottom"/>
          </w:tcPr>
          <w:p>
            <w:pPr>
              <w:jc w:val="center"/>
              <w:ind w:right="295"/>
              <w:spacing w:after="0" w:line="162" w:lineRule="exact"/>
              <w:rPr>
                <w:sz w:val="20"/>
                <w:szCs w:val="20"/>
                <w:color w:val="auto"/>
              </w:rPr>
            </w:pPr>
            <w:r>
              <w:rPr>
                <w:rFonts w:ascii="Arial" w:cs="Arial" w:eastAsia="Arial" w:hAnsi="Arial"/>
                <w:sz w:val="16"/>
                <w:szCs w:val="16"/>
                <w:color w:val="auto"/>
              </w:rPr>
              <w:t>(State or Other Jurisdiction</w:t>
            </w:r>
          </w:p>
        </w:tc>
        <w:tc>
          <w:tcPr>
            <w:tcW w:w="4900" w:type="dxa"/>
            <w:vAlign w:val="bottom"/>
          </w:tcPr>
          <w:p>
            <w:pPr>
              <w:spacing w:after="0"/>
              <w:rPr>
                <w:sz w:val="14"/>
                <w:szCs w:val="14"/>
                <w:color w:val="auto"/>
              </w:rPr>
            </w:pPr>
          </w:p>
        </w:tc>
        <w:tc>
          <w:tcPr>
            <w:tcW w:w="1980" w:type="dxa"/>
            <w:vAlign w:val="bottom"/>
          </w:tcPr>
          <w:p>
            <w:pPr>
              <w:jc w:val="center"/>
              <w:ind w:left="635"/>
              <w:spacing w:after="0" w:line="162" w:lineRule="exact"/>
              <w:rPr>
                <w:sz w:val="20"/>
                <w:szCs w:val="20"/>
                <w:color w:val="auto"/>
              </w:rPr>
            </w:pPr>
            <w:r>
              <w:rPr>
                <w:rFonts w:ascii="Arial" w:cs="Arial" w:eastAsia="Arial" w:hAnsi="Arial"/>
                <w:sz w:val="16"/>
                <w:szCs w:val="16"/>
                <w:color w:val="auto"/>
              </w:rPr>
              <w:t>(IRS Employer</w:t>
            </w:r>
          </w:p>
        </w:tc>
      </w:tr>
      <w:tr>
        <w:trPr>
          <w:trHeight w:val="195"/>
        </w:trPr>
        <w:tc>
          <w:tcPr>
            <w:tcW w:w="3220" w:type="dxa"/>
            <w:vAlign w:val="bottom"/>
          </w:tcPr>
          <w:p>
            <w:pPr>
              <w:jc w:val="center"/>
              <w:ind w:right="315"/>
              <w:spacing w:after="0"/>
              <w:rPr>
                <w:sz w:val="20"/>
                <w:szCs w:val="20"/>
                <w:color w:val="auto"/>
              </w:rPr>
            </w:pPr>
            <w:r>
              <w:rPr>
                <w:rFonts w:ascii="Arial" w:cs="Arial" w:eastAsia="Arial" w:hAnsi="Arial"/>
                <w:sz w:val="16"/>
                <w:szCs w:val="16"/>
                <w:color w:val="auto"/>
              </w:rPr>
              <w:t>of Incorporation)</w:t>
            </w:r>
          </w:p>
        </w:tc>
        <w:tc>
          <w:tcPr>
            <w:tcW w:w="4900" w:type="dxa"/>
            <w:vAlign w:val="bottom"/>
          </w:tcPr>
          <w:p>
            <w:pPr>
              <w:spacing w:after="0"/>
              <w:rPr>
                <w:sz w:val="16"/>
                <w:szCs w:val="16"/>
                <w:color w:val="auto"/>
              </w:rPr>
            </w:pPr>
          </w:p>
        </w:tc>
        <w:tc>
          <w:tcPr>
            <w:tcW w:w="1980" w:type="dxa"/>
            <w:vAlign w:val="bottom"/>
          </w:tcPr>
          <w:p>
            <w:pPr>
              <w:jc w:val="center"/>
              <w:ind w:left="635"/>
              <w:spacing w:after="0"/>
              <w:rPr>
                <w:sz w:val="20"/>
                <w:szCs w:val="20"/>
                <w:color w:val="auto"/>
              </w:rPr>
            </w:pPr>
            <w:r>
              <w:rPr>
                <w:rFonts w:ascii="Arial" w:cs="Arial" w:eastAsia="Arial" w:hAnsi="Arial"/>
                <w:sz w:val="16"/>
                <w:szCs w:val="16"/>
                <w:color w:val="auto"/>
              </w:rPr>
              <w:t>Identification No.)</w:t>
            </w:r>
          </w:p>
        </w:tc>
      </w:tr>
      <w:tr>
        <w:trPr>
          <w:trHeight w:val="290"/>
        </w:trPr>
        <w:tc>
          <w:tcPr>
            <w:tcW w:w="3220" w:type="dxa"/>
            <w:vAlign w:val="bottom"/>
          </w:tcPr>
          <w:p>
            <w:pPr>
              <w:jc w:val="center"/>
              <w:ind w:right="315"/>
              <w:spacing w:after="0"/>
              <w:rPr>
                <w:sz w:val="20"/>
                <w:szCs w:val="20"/>
                <w:color w:val="auto"/>
              </w:rPr>
            </w:pPr>
            <w:r>
              <w:rPr>
                <w:rFonts w:ascii="Arial" w:cs="Arial" w:eastAsia="Arial" w:hAnsi="Arial"/>
                <w:sz w:val="18"/>
                <w:szCs w:val="18"/>
                <w:b w:val="1"/>
                <w:bCs w:val="1"/>
                <w:color w:val="auto"/>
                <w:w w:val="99"/>
              </w:rPr>
              <w:t>3655 Nobel Drive, Suite 260</w:t>
            </w:r>
          </w:p>
        </w:tc>
        <w:tc>
          <w:tcPr>
            <w:tcW w:w="4900" w:type="dxa"/>
            <w:vAlign w:val="bottom"/>
          </w:tcPr>
          <w:p>
            <w:pPr>
              <w:jc w:val="center"/>
              <w:ind w:right="233"/>
              <w:spacing w:after="0"/>
              <w:rPr>
                <w:sz w:val="20"/>
                <w:szCs w:val="20"/>
                <w:color w:val="auto"/>
              </w:rPr>
            </w:pPr>
            <w:r>
              <w:rPr>
                <w:rFonts w:ascii="Arial" w:cs="Arial" w:eastAsia="Arial" w:hAnsi="Arial"/>
                <w:sz w:val="18"/>
                <w:szCs w:val="18"/>
                <w:b w:val="1"/>
                <w:bCs w:val="1"/>
                <w:color w:val="auto"/>
                <w:w w:val="99"/>
              </w:rPr>
              <w:t>(858) 926-7655</w:t>
            </w:r>
          </w:p>
        </w:tc>
        <w:tc>
          <w:tcPr>
            <w:tcW w:w="1980" w:type="dxa"/>
            <w:vAlign w:val="bottom"/>
          </w:tcPr>
          <w:p>
            <w:pPr>
              <w:jc w:val="right"/>
              <w:ind w:right="295"/>
              <w:spacing w:after="0"/>
              <w:rPr>
                <w:sz w:val="20"/>
                <w:szCs w:val="20"/>
                <w:color w:val="auto"/>
              </w:rPr>
            </w:pPr>
            <w:r>
              <w:rPr>
                <w:rFonts w:ascii="Arial" w:cs="Arial" w:eastAsia="Arial" w:hAnsi="Arial"/>
                <w:sz w:val="18"/>
                <w:szCs w:val="18"/>
                <w:b w:val="1"/>
                <w:bCs w:val="1"/>
                <w:color w:val="auto"/>
              </w:rPr>
              <w:t>92122</w:t>
            </w:r>
          </w:p>
        </w:tc>
      </w:tr>
      <w:tr>
        <w:trPr>
          <w:trHeight w:val="191"/>
        </w:trPr>
        <w:tc>
          <w:tcPr>
            <w:tcW w:w="3220" w:type="dxa"/>
            <w:vAlign w:val="bottom"/>
          </w:tcPr>
          <w:p>
            <w:pPr>
              <w:jc w:val="center"/>
              <w:ind w:right="295"/>
              <w:spacing w:after="0" w:line="191" w:lineRule="exact"/>
              <w:rPr>
                <w:sz w:val="20"/>
                <w:szCs w:val="20"/>
                <w:color w:val="auto"/>
              </w:rPr>
            </w:pPr>
            <w:r>
              <w:rPr>
                <w:rFonts w:ascii="Arial" w:cs="Arial" w:eastAsia="Arial" w:hAnsi="Arial"/>
                <w:sz w:val="18"/>
                <w:szCs w:val="18"/>
                <w:b w:val="1"/>
                <w:bCs w:val="1"/>
                <w:color w:val="auto"/>
                <w:w w:val="99"/>
              </w:rPr>
              <w:t>San Diego, CA</w:t>
            </w:r>
          </w:p>
        </w:tc>
        <w:tc>
          <w:tcPr>
            <w:tcW w:w="4900" w:type="dxa"/>
            <w:vAlign w:val="bottom"/>
          </w:tcPr>
          <w:p>
            <w:pPr>
              <w:jc w:val="center"/>
              <w:ind w:right="253"/>
              <w:spacing w:after="0"/>
              <w:rPr>
                <w:sz w:val="20"/>
                <w:szCs w:val="20"/>
                <w:color w:val="auto"/>
              </w:rPr>
            </w:pPr>
            <w:r>
              <w:rPr>
                <w:rFonts w:ascii="Arial" w:cs="Arial" w:eastAsia="Arial" w:hAnsi="Arial"/>
                <w:sz w:val="16"/>
                <w:szCs w:val="16"/>
                <w:color w:val="auto"/>
              </w:rPr>
              <w:t>(Registrant’s telephone number, including area code)</w:t>
            </w:r>
          </w:p>
        </w:tc>
        <w:tc>
          <w:tcPr>
            <w:tcW w:w="1980" w:type="dxa"/>
            <w:vAlign w:val="bottom"/>
          </w:tcPr>
          <w:p>
            <w:pPr>
              <w:jc w:val="center"/>
              <w:ind w:left="655"/>
              <w:spacing w:after="0"/>
              <w:rPr>
                <w:sz w:val="20"/>
                <w:szCs w:val="20"/>
                <w:color w:val="auto"/>
              </w:rPr>
            </w:pPr>
            <w:r>
              <w:rPr>
                <w:rFonts w:ascii="Arial" w:cs="Arial" w:eastAsia="Arial" w:hAnsi="Arial"/>
                <w:sz w:val="16"/>
                <w:szCs w:val="16"/>
                <w:color w:val="auto"/>
              </w:rPr>
              <w:t>(Zip Code)</w:t>
            </w:r>
          </w:p>
        </w:tc>
      </w:tr>
      <w:tr>
        <w:trPr>
          <w:trHeight w:val="195"/>
        </w:trPr>
        <w:tc>
          <w:tcPr>
            <w:tcW w:w="3220" w:type="dxa"/>
            <w:vAlign w:val="bottom"/>
          </w:tcPr>
          <w:p>
            <w:pPr>
              <w:jc w:val="center"/>
              <w:ind w:right="295"/>
              <w:spacing w:after="0"/>
              <w:rPr>
                <w:sz w:val="20"/>
                <w:szCs w:val="20"/>
                <w:color w:val="auto"/>
              </w:rPr>
            </w:pPr>
            <w:r>
              <w:rPr>
                <w:rFonts w:ascii="Arial" w:cs="Arial" w:eastAsia="Arial" w:hAnsi="Arial"/>
                <w:sz w:val="16"/>
                <w:szCs w:val="16"/>
                <w:color w:val="auto"/>
              </w:rPr>
              <w:t>(Address of Principal Executive Offices)</w:t>
            </w:r>
          </w:p>
        </w:tc>
        <w:tc>
          <w:tcPr>
            <w:tcW w:w="4900" w:type="dxa"/>
            <w:vAlign w:val="bottom"/>
          </w:tcPr>
          <w:p>
            <w:pPr>
              <w:spacing w:after="0"/>
              <w:rPr>
                <w:sz w:val="16"/>
                <w:szCs w:val="16"/>
                <w:color w:val="auto"/>
              </w:rPr>
            </w:pPr>
          </w:p>
        </w:tc>
        <w:tc>
          <w:tcPr>
            <w:tcW w:w="1980" w:type="dxa"/>
            <w:vAlign w:val="bottom"/>
          </w:tcPr>
          <w:p>
            <w:pPr>
              <w:spacing w:after="0"/>
              <w:rPr>
                <w:sz w:val="16"/>
                <w:szCs w:val="16"/>
                <w:color w:val="auto"/>
              </w:rPr>
            </w:pPr>
          </w:p>
        </w:tc>
      </w:tr>
    </w:tbl>
    <w:p>
      <w:pPr>
        <w:spacing w:after="0" w:line="129" w:lineRule="exact"/>
        <w:rPr>
          <w:sz w:val="24"/>
          <w:szCs w:val="24"/>
          <w:color w:val="auto"/>
        </w:rPr>
      </w:pPr>
    </w:p>
    <w:p>
      <w:pPr>
        <w:ind w:left="268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94" w:lineRule="exact"/>
        <w:rPr>
          <w:sz w:val="24"/>
          <w:szCs w:val="24"/>
          <w:color w:val="auto"/>
        </w:rPr>
      </w:pPr>
    </w:p>
    <w:p>
      <w:pPr>
        <w:ind w:left="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 w:lineRule="exact"/>
        <w:rPr>
          <w:sz w:val="24"/>
          <w:szCs w:val="24"/>
          <w:color w:val="auto"/>
        </w:rPr>
      </w:pPr>
    </w:p>
    <w:p>
      <w:pPr>
        <w:ind w:left="8500"/>
        <w:spacing w:after="0"/>
        <w:rPr>
          <w:sz w:val="20"/>
          <w:szCs w:val="20"/>
          <w:color w:val="auto"/>
        </w:rPr>
      </w:pPr>
      <w:r>
        <w:rPr>
          <w:rFonts w:ascii="Arial" w:cs="Arial" w:eastAsia="Arial" w:hAnsi="Arial"/>
          <w:sz w:val="16"/>
          <w:szCs w:val="16"/>
          <w:color w:val="auto"/>
        </w:rPr>
        <w:t>Name of each exchange on which</w:t>
      </w:r>
    </w:p>
    <w:p>
      <w:pPr>
        <w:ind w:left="1000"/>
        <w:spacing w:after="0"/>
        <w:tabs>
          <w:tab w:leader="none" w:pos="5060" w:val="left"/>
          <w:tab w:leader="none" w:pos="9340" w:val="left"/>
        </w:tabs>
        <w:rPr>
          <w:sz w:val="20"/>
          <w:szCs w:val="20"/>
          <w:color w:val="auto"/>
        </w:rPr>
      </w:pPr>
      <w:r>
        <w:rPr>
          <w:rFonts w:ascii="Arial" w:cs="Arial" w:eastAsia="Arial" w:hAnsi="Arial"/>
          <w:sz w:val="16"/>
          <w:szCs w:val="16"/>
          <w:color w:val="auto"/>
        </w:rPr>
        <w:t>Title of each class</w:t>
      </w:r>
      <w:r>
        <w:rPr>
          <w:sz w:val="20"/>
          <w:szCs w:val="20"/>
          <w:color w:val="auto"/>
        </w:rPr>
        <w:tab/>
      </w:r>
      <w:r>
        <w:rPr>
          <w:rFonts w:ascii="Arial" w:cs="Arial" w:eastAsia="Arial" w:hAnsi="Arial"/>
          <w:sz w:val="16"/>
          <w:szCs w:val="16"/>
          <w:color w:val="auto"/>
        </w:rPr>
        <w:t>Trading Symbol(s)</w:t>
      </w:r>
      <w:r>
        <w:rPr>
          <w:sz w:val="20"/>
          <w:szCs w:val="20"/>
          <w:color w:val="auto"/>
        </w:rPr>
        <w:tab/>
      </w:r>
      <w:r>
        <w:rPr>
          <w:rFonts w:ascii="Arial" w:cs="Arial" w:eastAsia="Arial" w:hAnsi="Arial"/>
          <w:sz w:val="16"/>
          <w:szCs w:val="16"/>
          <w:color w:val="auto"/>
        </w:rPr>
        <w:t>registered</w:t>
      </w:r>
    </w:p>
    <w:p>
      <w:pPr>
        <w:spacing w:after="0" w:line="12" w:lineRule="exact"/>
        <w:rPr>
          <w:sz w:val="24"/>
          <w:szCs w:val="24"/>
          <w:color w:val="auto"/>
        </w:rPr>
      </w:pPr>
    </w:p>
    <w:p>
      <w:pPr>
        <w:ind w:left="1060"/>
        <w:spacing w:after="0"/>
        <w:tabs>
          <w:tab w:leader="none" w:pos="5500" w:val="left"/>
          <w:tab w:leader="none" w:pos="8820" w:val="left"/>
        </w:tabs>
        <w:rPr>
          <w:sz w:val="20"/>
          <w:szCs w:val="20"/>
          <w:color w:val="auto"/>
        </w:rPr>
      </w:pPr>
      <w:r>
        <w:rPr>
          <w:rFonts w:ascii="Arial" w:cs="Arial" w:eastAsia="Arial" w:hAnsi="Arial"/>
          <w:sz w:val="16"/>
          <w:szCs w:val="16"/>
          <w:b w:val="1"/>
          <w:bCs w:val="1"/>
          <w:color w:val="auto"/>
        </w:rPr>
        <w:t>Common Stock</w:t>
      </w:r>
      <w:r>
        <w:rPr>
          <w:sz w:val="20"/>
          <w:szCs w:val="20"/>
          <w:color w:val="auto"/>
        </w:rPr>
        <w:tab/>
      </w:r>
      <w:r>
        <w:rPr>
          <w:rFonts w:ascii="Arial" w:cs="Arial" w:eastAsia="Arial" w:hAnsi="Arial"/>
          <w:sz w:val="16"/>
          <w:szCs w:val="16"/>
          <w:b w:val="1"/>
          <w:bCs w:val="1"/>
          <w:color w:val="auto"/>
        </w:rPr>
        <w:t>DARE</w:t>
      </w:r>
      <w:r>
        <w:rPr>
          <w:sz w:val="20"/>
          <w:szCs w:val="20"/>
          <w:color w:val="auto"/>
        </w:rPr>
        <w:tab/>
      </w:r>
      <w:r>
        <w:rPr>
          <w:rFonts w:ascii="Arial" w:cs="Arial" w:eastAsia="Arial" w:hAnsi="Arial"/>
          <w:sz w:val="16"/>
          <w:szCs w:val="16"/>
          <w:b w:val="1"/>
          <w:bCs w:val="1"/>
          <w:color w:val="auto"/>
        </w:rPr>
        <w:t>Nasdaq Capital Market</w:t>
      </w:r>
    </w:p>
    <w:p>
      <w:pPr>
        <w:spacing w:after="0" w:line="201" w:lineRule="exact"/>
        <w:rPr>
          <w:sz w:val="24"/>
          <w:szCs w:val="24"/>
          <w:color w:val="auto"/>
        </w:rPr>
      </w:pPr>
    </w:p>
    <w:p>
      <w:pPr>
        <w:jc w:val="both"/>
        <w:ind w:firstLine="324"/>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53" w:lineRule="exact"/>
        <w:rPr>
          <w:sz w:val="24"/>
          <w:szCs w:val="24"/>
          <w:color w:val="auto"/>
        </w:rPr>
      </w:pPr>
    </w:p>
    <w:p>
      <w:pPr>
        <w:jc w:val="both"/>
        <w:ind w:firstLine="324"/>
        <w:spacing w:after="0" w:line="26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72" w:lineRule="exact"/>
        <w:rPr>
          <w:sz w:val="24"/>
          <w:szCs w:val="24"/>
          <w:color w:val="auto"/>
        </w:rPr>
      </w:pPr>
    </w:p>
    <w:p>
      <w:pPr>
        <w:jc w:val="both"/>
        <w:ind w:firstLine="324"/>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or emerging growth company. See the definitions of “large accelerated filer,” “accelerated filer,” “smaller reporting company,” and “emerging growth company” in Rule 12b-2 of the Exchange Act.</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95"/>
        </w:trPr>
        <w:tc>
          <w:tcPr>
            <w:tcW w:w="25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00" w:type="dxa"/>
            <w:vAlign w:val="bottom"/>
          </w:tcPr>
          <w:p>
            <w:pPr>
              <w:ind w:left="600"/>
              <w:spacing w:after="0"/>
              <w:rPr>
                <w:sz w:val="20"/>
                <w:szCs w:val="20"/>
                <w:color w:val="auto"/>
              </w:rPr>
            </w:pPr>
            <w:r>
              <w:rPr>
                <w:rFonts w:ascii="Arial" w:cs="Arial" w:eastAsia="Arial" w:hAnsi="Arial"/>
                <w:sz w:val="16"/>
                <w:szCs w:val="16"/>
                <w:color w:val="auto"/>
              </w:rPr>
              <w:t>o</w:t>
            </w:r>
          </w:p>
        </w:tc>
        <w:tc>
          <w:tcPr>
            <w:tcW w:w="4760" w:type="dxa"/>
            <w:vAlign w:val="bottom"/>
          </w:tcPr>
          <w:p>
            <w:pPr>
              <w:ind w:left="240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420"/>
              <w:spacing w:after="0"/>
              <w:rPr>
                <w:sz w:val="20"/>
                <w:szCs w:val="20"/>
                <w:color w:val="auto"/>
              </w:rPr>
            </w:pPr>
            <w:r>
              <w:rPr>
                <w:rFonts w:ascii="Arial" w:cs="Arial" w:eastAsia="Arial" w:hAnsi="Arial"/>
                <w:sz w:val="15"/>
                <w:szCs w:val="15"/>
                <w:color w:val="auto"/>
                <w:w w:val="71"/>
              </w:rPr>
              <w:t>o</w:t>
            </w:r>
          </w:p>
        </w:tc>
      </w:tr>
      <w:tr>
        <w:trPr>
          <w:trHeight w:val="216"/>
        </w:trPr>
        <w:tc>
          <w:tcPr>
            <w:tcW w:w="2520" w:type="dxa"/>
            <w:vAlign w:val="bottom"/>
          </w:tcPr>
          <w:p>
            <w:pPr>
              <w:spacing w:after="0"/>
              <w:rPr>
                <w:sz w:val="20"/>
                <w:szCs w:val="20"/>
                <w:color w:val="auto"/>
              </w:rPr>
            </w:pPr>
            <w:r>
              <w:rPr>
                <w:rFonts w:ascii="Arial" w:cs="Arial" w:eastAsia="Arial" w:hAnsi="Arial"/>
                <w:sz w:val="16"/>
                <w:szCs w:val="16"/>
                <w:color w:val="auto"/>
              </w:rPr>
              <w:t>Non-accelerated filer</w:t>
            </w:r>
          </w:p>
        </w:tc>
        <w:tc>
          <w:tcPr>
            <w:tcW w:w="3100" w:type="dxa"/>
            <w:vAlign w:val="bottom"/>
          </w:tcPr>
          <w:p>
            <w:pPr>
              <w:ind w:left="600"/>
              <w:spacing w:after="0"/>
              <w:rPr>
                <w:sz w:val="20"/>
                <w:szCs w:val="20"/>
                <w:color w:val="auto"/>
              </w:rPr>
            </w:pPr>
            <w:r>
              <w:rPr>
                <w:rFonts w:ascii="Arial" w:cs="Arial" w:eastAsia="Arial" w:hAnsi="Arial"/>
                <w:sz w:val="16"/>
                <w:szCs w:val="16"/>
                <w:color w:val="auto"/>
              </w:rPr>
              <w:t>x</w:t>
            </w:r>
          </w:p>
        </w:tc>
        <w:tc>
          <w:tcPr>
            <w:tcW w:w="4760" w:type="dxa"/>
            <w:vAlign w:val="bottom"/>
          </w:tcPr>
          <w:p>
            <w:pPr>
              <w:ind w:left="240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420"/>
              <w:spacing w:after="0"/>
              <w:rPr>
                <w:sz w:val="20"/>
                <w:szCs w:val="20"/>
                <w:color w:val="auto"/>
              </w:rPr>
            </w:pPr>
            <w:r>
              <w:rPr>
                <w:rFonts w:ascii="Arial" w:cs="Arial" w:eastAsia="Arial" w:hAnsi="Arial"/>
                <w:sz w:val="16"/>
                <w:szCs w:val="16"/>
                <w:color w:val="auto"/>
                <w:w w:val="74"/>
              </w:rPr>
              <w:t>x</w:t>
            </w:r>
          </w:p>
        </w:tc>
      </w:tr>
      <w:tr>
        <w:trPr>
          <w:trHeight w:val="243"/>
        </w:trPr>
        <w:tc>
          <w:tcPr>
            <w:tcW w:w="25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00" w:type="dxa"/>
            <w:vAlign w:val="bottom"/>
          </w:tcPr>
          <w:p>
            <w:pPr>
              <w:ind w:left="600"/>
              <w:spacing w:after="0"/>
              <w:rPr>
                <w:sz w:val="20"/>
                <w:szCs w:val="20"/>
                <w:color w:val="auto"/>
              </w:rPr>
            </w:pPr>
            <w:r>
              <w:rPr>
                <w:rFonts w:ascii="Arial" w:cs="Arial" w:eastAsia="Arial" w:hAnsi="Arial"/>
                <w:sz w:val="16"/>
                <w:szCs w:val="16"/>
                <w:color w:val="auto"/>
              </w:rPr>
              <w:t>o</w:t>
            </w:r>
          </w:p>
        </w:tc>
        <w:tc>
          <w:tcPr>
            <w:tcW w:w="4760" w:type="dxa"/>
            <w:vAlign w:val="bottom"/>
          </w:tcPr>
          <w:p>
            <w:pPr>
              <w:spacing w:after="0"/>
              <w:rPr>
                <w:sz w:val="21"/>
                <w:szCs w:val="21"/>
                <w:color w:val="auto"/>
              </w:rPr>
            </w:pPr>
          </w:p>
        </w:tc>
        <w:tc>
          <w:tcPr>
            <w:tcW w:w="500" w:type="dxa"/>
            <w:vAlign w:val="bottom"/>
          </w:tcPr>
          <w:p>
            <w:pPr>
              <w:spacing w:after="0"/>
              <w:rPr>
                <w:sz w:val="21"/>
                <w:szCs w:val="21"/>
                <w:color w:val="auto"/>
              </w:rPr>
            </w:pPr>
          </w:p>
        </w:tc>
      </w:tr>
    </w:tbl>
    <w:p>
      <w:pPr>
        <w:spacing w:after="0" w:line="156" w:lineRule="exact"/>
        <w:rPr>
          <w:sz w:val="24"/>
          <w:szCs w:val="24"/>
          <w:color w:val="auto"/>
        </w:rPr>
      </w:pPr>
    </w:p>
    <w:p>
      <w:pPr>
        <w:jc w:val="both"/>
        <w:ind w:right="340" w:firstLine="324"/>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pursuant to Section 13(a) of the Exchange Act. o</w:t>
      </w:r>
    </w:p>
    <w:p>
      <w:pPr>
        <w:spacing w:after="0" w:line="5" w:lineRule="exact"/>
        <w:rPr>
          <w:sz w:val="24"/>
          <w:szCs w:val="24"/>
          <w:color w:val="auto"/>
        </w:rPr>
      </w:pPr>
    </w:p>
    <w:p>
      <w:pPr>
        <w:ind w:left="340"/>
        <w:spacing w:after="0" w:line="184" w:lineRule="exact"/>
        <w:tabs>
          <w:tab w:leader="none" w:pos="7820" w:val="left"/>
          <w:tab w:leader="none" w:pos="8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128"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May 10, 2021, 49,350,077 shares of the Registrant’s Common Stock, par value $0.0001,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9"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This Quarterly Report on Form 10-Q, in particular “Item 2. Management's Discussion and Analysis of Financial Condition and Results of Operations,” of Part I. Financial Information,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costs, prospects, plans and objectives of management, are forward-looking statements. Forward-looking statements, in some cases, can be identified by terms such as “believe,” “may,” “will,” “estimate,” “continue,” “anticipate,” “design,” “intend,” “expect,” “could,” “plan,” “potential,” “predict,” “seek,” “should,” “would,” “contemplate,” project,” “target,” “tend to,” or the negative version of these words and similar expressions.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II, Item 1A, “Risk Factors,” in this report, and elsewhere in this report. Given these uncertainties, you should not place undue reliance on any forward-looking statement. The following factors are among those that may cause such differences:</w:t>
      </w:r>
    </w:p>
    <w:p>
      <w:pPr>
        <w:spacing w:after="0" w:line="143"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continue as a going concern;</w:t>
      </w:r>
    </w:p>
    <w:p>
      <w:pPr>
        <w:spacing w:after="0" w:line="184"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raise additional capital, under favorable terms or at all, including as a result of the effects of the COVID-19 pandemic;</w:t>
      </w:r>
    </w:p>
    <w:p>
      <w:pPr>
        <w:spacing w:after="0" w:line="198" w:lineRule="exact"/>
        <w:rPr>
          <w:rFonts w:ascii="Arial" w:cs="Arial" w:eastAsia="Arial" w:hAnsi="Arial"/>
          <w:sz w:val="18"/>
          <w:szCs w:val="18"/>
          <w:i w:val="1"/>
          <w:iCs w:val="1"/>
          <w:color w:val="auto"/>
        </w:rPr>
      </w:pPr>
    </w:p>
    <w:p>
      <w:pPr>
        <w:ind w:left="340" w:hanging="332"/>
        <w:spacing w:after="0" w:line="282"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successfully attract partners and enter into collaborations relating to the development and/or commercialization of our product candidates on a timely basis or on acceptable terms, or at all;</w:t>
      </w:r>
    </w:p>
    <w:p>
      <w:pPr>
        <w:spacing w:after="0" w:line="121"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 decision by Bayer HealthCare LLC to discontinue its commercial interest in Ovaprene® and/or to terminate our license agreement;</w:t>
      </w:r>
    </w:p>
    <w:p>
      <w:pPr>
        <w:spacing w:after="0" w:line="184"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or an increase in projected costs to timely develop, obtain regulatory approval for and commercialize our product candidates;</w:t>
      </w:r>
    </w:p>
    <w:p>
      <w:pPr>
        <w:spacing w:after="0" w:line="198" w:lineRule="exact"/>
        <w:rPr>
          <w:rFonts w:ascii="Arial" w:cs="Arial" w:eastAsia="Arial" w:hAnsi="Arial"/>
          <w:sz w:val="18"/>
          <w:szCs w:val="18"/>
          <w:i w:val="1"/>
          <w:iCs w:val="1"/>
          <w:color w:val="auto"/>
        </w:rPr>
      </w:pPr>
    </w:p>
    <w:p>
      <w:pPr>
        <w:jc w:val="both"/>
        <w:ind w:left="340" w:right="20" w:hanging="332"/>
        <w:spacing w:after="0" w:line="266"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Failure or delay in starting, conducting and completing clinical trials or obtaining United States Food and Drug Administration, or FDA, or foreign regulatory approval for our product candidates in a timely manner, including as a result of matters beyond our control such as the effects related to geopolitical actions, natural disasters, or public health emergencies or pandemics, such as the COVID-19 pandemic;</w:t>
      </w:r>
    </w:p>
    <w:p>
      <w:pPr>
        <w:spacing w:after="0" w:line="135"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 change in the FDA Center assigned primary oversight responsibility for our combination product candidates;</w:t>
      </w:r>
    </w:p>
    <w:p>
      <w:pPr>
        <w:spacing w:after="0" w:line="184" w:lineRule="exact"/>
        <w:rPr>
          <w:rFonts w:ascii="Arial" w:cs="Arial" w:eastAsia="Arial" w:hAnsi="Arial"/>
          <w:sz w:val="18"/>
          <w:szCs w:val="18"/>
          <w:i w:val="1"/>
          <w:iCs w:val="1"/>
          <w:color w:val="auto"/>
        </w:rPr>
      </w:pPr>
    </w:p>
    <w:p>
      <w:pPr>
        <w:ind w:left="340" w:hanging="332"/>
        <w:spacing w:after="0" w:line="282"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 change in regulatory requirements for our product candidates, including the development pathway pursuant to Section 505(b)(2) of the Federal Food, Drug, and Cosmetic Act, or the FDA's 505(b)(2) pathway;</w:t>
      </w:r>
    </w:p>
    <w:p>
      <w:pPr>
        <w:spacing w:after="0" w:line="134" w:lineRule="exact"/>
        <w:rPr>
          <w:rFonts w:ascii="Arial" w:cs="Arial" w:eastAsia="Arial" w:hAnsi="Arial"/>
          <w:sz w:val="18"/>
          <w:szCs w:val="18"/>
          <w:i w:val="1"/>
          <w:iCs w:val="1"/>
          <w:color w:val="auto"/>
        </w:rPr>
      </w:pPr>
    </w:p>
    <w:p>
      <w:pPr>
        <w:ind w:left="340" w:right="20" w:hanging="332"/>
        <w:spacing w:after="0" w:line="282"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Unsuccessful clinical trial outcomes stemming from clinical trial designs, failure to enroll a sufficient number of patients, higher than anticipated patient dropout rates, failure to meet established clinical endpoints, undesirable side effects and other safety concerns;</w:t>
      </w:r>
    </w:p>
    <w:p>
      <w:pPr>
        <w:spacing w:after="0" w:line="121" w:lineRule="exact"/>
        <w:rPr>
          <w:rFonts w:ascii="Arial" w:cs="Arial" w:eastAsia="Arial" w:hAnsi="Arial"/>
          <w:sz w:val="18"/>
          <w:szCs w:val="18"/>
          <w:i w:val="1"/>
          <w:iCs w:val="1"/>
          <w:color w:val="auto"/>
        </w:rPr>
      </w:pPr>
    </w:p>
    <w:p>
      <w:pPr>
        <w:ind w:left="340" w:hanging="332"/>
        <w:spacing w:after="0" w:line="282"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Reaching a conclusion regarding the efficacy or safety of a product candidate following full evaluation of complete clinical study data that is materially different from topline study results we may report;</w:t>
      </w:r>
    </w:p>
    <w:p>
      <w:pPr>
        <w:spacing w:after="0" w:line="121" w:lineRule="exact"/>
        <w:rPr>
          <w:rFonts w:ascii="Arial" w:cs="Arial" w:eastAsia="Arial" w:hAnsi="Arial"/>
          <w:sz w:val="18"/>
          <w:szCs w:val="18"/>
          <w:i w:val="1"/>
          <w:iCs w:val="1"/>
          <w:color w:val="auto"/>
        </w:rPr>
      </w:pPr>
    </w:p>
    <w:p>
      <w:pPr>
        <w:jc w:val="both"/>
        <w:ind w:left="340" w:hanging="332"/>
        <w:spacing w:after="0" w:line="261"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Communication from the FDA or another regulatory authority that it does not accept or agree with our assumptions, estimates, calculations, conclusions or analyses of clinical or nonclinical study data regarding a product candidate, or that it interprets or weighs the importance of study data differently than we have in a manner that negatively impacts the candidate's prospects for regulatory approval in a timely manner, or at all;</w:t>
      </w:r>
    </w:p>
    <w:p>
      <w:pPr>
        <w:spacing w:after="0" w:line="152" w:lineRule="exact"/>
        <w:rPr>
          <w:rFonts w:ascii="Arial" w:cs="Arial" w:eastAsia="Arial" w:hAnsi="Arial"/>
          <w:sz w:val="18"/>
          <w:szCs w:val="18"/>
          <w:i w:val="1"/>
          <w:iCs w:val="1"/>
          <w:color w:val="auto"/>
        </w:rPr>
      </w:pPr>
    </w:p>
    <w:p>
      <w:pPr>
        <w:ind w:left="340" w:hanging="332"/>
        <w:spacing w:after="0" w:line="282"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Negative publicity concerning the safety and efficacy of our product candidates, or of product candidates being developed by others that share characteristics similar to our candidates;</w:t>
      </w:r>
    </w:p>
    <w:p>
      <w:pPr>
        <w:spacing w:after="0" w:line="121"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demonstrate sufficient efficacy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588010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ind w:left="332" w:right="20"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select or capitalize on the most scientifically, clinically or commercially promising or profitable indications or therapeutic areas for our product candidates due to limited financial resources;</w:t>
      </w:r>
    </w:p>
    <w:p>
      <w:pPr>
        <w:spacing w:after="0" w:line="134" w:lineRule="exact"/>
        <w:rPr>
          <w:rFonts w:ascii="Arial" w:cs="Arial" w:eastAsia="Arial" w:hAnsi="Arial"/>
          <w:sz w:val="18"/>
          <w:szCs w:val="18"/>
          <w:i w:val="1"/>
          <w:iCs w:val="1"/>
          <w:color w:val="auto"/>
        </w:rPr>
      </w:pPr>
    </w:p>
    <w:p>
      <w:pPr>
        <w:ind w:left="332"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Loss of our licensed rights to develop and commercialize a product candidate as a result of the termination of the underlying licensing agreement;</w:t>
      </w:r>
    </w:p>
    <w:p>
      <w:pPr>
        <w:spacing w:after="0" w:line="121" w:lineRule="exact"/>
        <w:rPr>
          <w:rFonts w:ascii="Arial" w:cs="Arial" w:eastAsia="Arial" w:hAnsi="Arial"/>
          <w:sz w:val="18"/>
          <w:szCs w:val="18"/>
          <w:i w:val="1"/>
          <w:iCs w:val="1"/>
          <w:color w:val="auto"/>
        </w:rPr>
      </w:pPr>
    </w:p>
    <w:p>
      <w:pPr>
        <w:jc w:val="both"/>
        <w:ind w:left="332" w:hanging="332"/>
        <w:spacing w:after="0" w:line="266"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Monetary obligations and other requirements in connection with our exclusive, in-license agreements covering the patents and related intellectual property related to our product candidates, or our merger or asset purchase agreements relating to the acquisition of our product candidates;</w:t>
      </w:r>
    </w:p>
    <w:p>
      <w:pPr>
        <w:spacing w:after="0" w:line="135"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Developments by our competitors that make our product candidates less competitive or obsolete;</w:t>
      </w:r>
    </w:p>
    <w:p>
      <w:pPr>
        <w:spacing w:after="0" w:line="198"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Dependence on third parties to conduct nonclinical studies and clinical trials of our product candidates;</w:t>
      </w:r>
    </w:p>
    <w:p>
      <w:pPr>
        <w:spacing w:after="0" w:line="184" w:lineRule="exact"/>
        <w:rPr>
          <w:rFonts w:ascii="Arial" w:cs="Arial" w:eastAsia="Arial" w:hAnsi="Arial"/>
          <w:sz w:val="18"/>
          <w:szCs w:val="18"/>
          <w:i w:val="1"/>
          <w:iCs w:val="1"/>
          <w:color w:val="auto"/>
        </w:rPr>
      </w:pPr>
    </w:p>
    <w:p>
      <w:pPr>
        <w:jc w:val="both"/>
        <w:ind w:left="332" w:hanging="332"/>
        <w:spacing w:after="0" w:line="266"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Dependence on third parties to supply and manufacture clinical trial materials and, if any of our candidates are approved, commercial product, including components of our products as well as the finished product, in accordance with current good manufacturing practices and in the quantities needed;</w:t>
      </w:r>
    </w:p>
    <w:p>
      <w:pPr>
        <w:spacing w:after="0" w:line="135" w:lineRule="exact"/>
        <w:rPr>
          <w:rFonts w:ascii="Arial" w:cs="Arial" w:eastAsia="Arial" w:hAnsi="Arial"/>
          <w:sz w:val="18"/>
          <w:szCs w:val="18"/>
          <w:i w:val="1"/>
          <w:iCs w:val="1"/>
          <w:color w:val="auto"/>
        </w:rPr>
      </w:pPr>
    </w:p>
    <w:p>
      <w:pPr>
        <w:ind w:left="332"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Cyber-attacks, security breaches or similar events compromising our technology systems or the technology systems of third parties on which we rely;</w:t>
      </w:r>
    </w:p>
    <w:p>
      <w:pPr>
        <w:spacing w:after="0" w:line="134" w:lineRule="exact"/>
        <w:rPr>
          <w:rFonts w:ascii="Arial" w:cs="Arial" w:eastAsia="Arial" w:hAnsi="Arial"/>
          <w:sz w:val="18"/>
          <w:szCs w:val="18"/>
          <w:i w:val="1"/>
          <w:iCs w:val="1"/>
          <w:color w:val="auto"/>
        </w:rPr>
      </w:pPr>
    </w:p>
    <w:p>
      <w:pPr>
        <w:jc w:val="both"/>
        <w:ind w:left="332" w:hanging="332"/>
        <w:spacing w:after="0" w:line="261"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Interruptions in, or the complete shutdown of, the operations of third parties on which we rely, including clinical sites, manufacturers, suppliers, and other vendors, from matters beyond their control, such as the effects related to geopolitical actions, natural disasters, or public health emergencies or pandemics, such as the COVID-19 pandemic, and our lack of recourse against such third parties if their inability to perform is excused under the terms of our agreements with such parties;</w:t>
      </w:r>
    </w:p>
    <w:p>
      <w:pPr>
        <w:spacing w:after="0" w:line="139"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Failure of our product candidates, if approved, to gain market acceptance or obtain adequate coverage for third party reimbursement;</w:t>
      </w:r>
    </w:p>
    <w:p>
      <w:pPr>
        <w:spacing w:after="0" w:line="184" w:lineRule="exact"/>
        <w:rPr>
          <w:rFonts w:ascii="Arial" w:cs="Arial" w:eastAsia="Arial" w:hAnsi="Arial"/>
          <w:sz w:val="18"/>
          <w:szCs w:val="18"/>
          <w:i w:val="1"/>
          <w:iCs w:val="1"/>
          <w:color w:val="auto"/>
        </w:rPr>
      </w:pPr>
    </w:p>
    <w:p>
      <w:pPr>
        <w:ind w:left="332" w:right="20"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 reduction in demand for contraceptives caused by an elimination of current requirements that health insurance plans cover and reimburse certain FDA-cleared or approved contraceptive products without cost sharing;</w:t>
      </w:r>
    </w:p>
    <w:p>
      <w:pPr>
        <w:spacing w:after="0" w:line="134" w:lineRule="exact"/>
        <w:rPr>
          <w:rFonts w:ascii="Arial" w:cs="Arial" w:eastAsia="Arial" w:hAnsi="Arial"/>
          <w:sz w:val="18"/>
          <w:szCs w:val="18"/>
          <w:i w:val="1"/>
          <w:iCs w:val="1"/>
          <w:color w:val="auto"/>
        </w:rPr>
      </w:pPr>
    </w:p>
    <w:p>
      <w:pPr>
        <w:ind w:left="332" w:right="20"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Uncertainty as to whether health insurance plans will cover our product candidates even if we successfully develop and obtain regulatory approval for them;</w:t>
      </w:r>
    </w:p>
    <w:p>
      <w:pPr>
        <w:spacing w:after="0" w:line="121" w:lineRule="exact"/>
        <w:rPr>
          <w:rFonts w:ascii="Arial" w:cs="Arial" w:eastAsia="Arial" w:hAnsi="Arial"/>
          <w:sz w:val="18"/>
          <w:szCs w:val="18"/>
          <w:i w:val="1"/>
          <w:iCs w:val="1"/>
          <w:color w:val="auto"/>
        </w:rPr>
      </w:pPr>
    </w:p>
    <w:p>
      <w:pPr>
        <w:ind w:left="332" w:right="20"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Unfavorable or inadequate reimbursement rates for our product candidates set by the United States government and other third-party payers even if they become covered products under health insurance plans;</w:t>
      </w:r>
    </w:p>
    <w:p>
      <w:pPr>
        <w:spacing w:after="0" w:line="121"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Difficulty in introducing branded products in a market made up of generic products;</w:t>
      </w:r>
    </w:p>
    <w:p>
      <w:pPr>
        <w:spacing w:after="0" w:line="198"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adequately protect or enforce our, or our licensor’s, intellectual property rights;</w:t>
      </w:r>
    </w:p>
    <w:p>
      <w:pPr>
        <w:spacing w:after="0" w:line="184" w:lineRule="exact"/>
        <w:rPr>
          <w:rFonts w:ascii="Arial" w:cs="Arial" w:eastAsia="Arial" w:hAnsi="Arial"/>
          <w:sz w:val="18"/>
          <w:szCs w:val="18"/>
          <w:i w:val="1"/>
          <w:iCs w:val="1"/>
          <w:color w:val="auto"/>
        </w:rPr>
      </w:pPr>
    </w:p>
    <w:p>
      <w:pPr>
        <w:ind w:left="332"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Lack of patent protection for the active ingredients in certain of our product candidates which could expose those product candidates to competition from other formulations using the same active ingredients;</w:t>
      </w:r>
    </w:p>
    <w:p>
      <w:pPr>
        <w:spacing w:after="0" w:line="121" w:lineRule="exact"/>
        <w:rPr>
          <w:rFonts w:ascii="Arial" w:cs="Arial" w:eastAsia="Arial" w:hAnsi="Arial"/>
          <w:sz w:val="18"/>
          <w:szCs w:val="18"/>
          <w:i w:val="1"/>
          <w:iCs w:val="1"/>
          <w:color w:val="auto"/>
        </w:rPr>
      </w:pPr>
    </w:p>
    <w:p>
      <w:pPr>
        <w:ind w:left="332" w:right="20"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Higher risk of failure associated with product candidates in pre-clinical stages of development that may lead investors to assign them little to no value and make these assets difficult to fund;</w:t>
      </w:r>
    </w:p>
    <w:p>
      <w:pPr>
        <w:spacing w:after="0" w:line="134"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Disputes or other developments concerning our intellectual property rights;</w:t>
      </w:r>
    </w:p>
    <w:p>
      <w:pPr>
        <w:spacing w:after="0" w:line="184"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Actual and anticipated fluctuations in our quarterly or annual operating results;</w:t>
      </w:r>
    </w:p>
    <w:p>
      <w:pPr>
        <w:spacing w:after="0" w:line="184" w:lineRule="exact"/>
        <w:rPr>
          <w:rFonts w:ascii="Arial" w:cs="Arial" w:eastAsia="Arial" w:hAnsi="Arial"/>
          <w:sz w:val="18"/>
          <w:szCs w:val="18"/>
          <w:i w:val="1"/>
          <w:iCs w:val="1"/>
          <w:color w:val="auto"/>
        </w:rPr>
      </w:pPr>
    </w:p>
    <w:p>
      <w:pPr>
        <w:ind w:left="332"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Price and volume fluctuations in the stock market, and in our stock in particular, which could subject us to securities class-action litigation;</w:t>
      </w:r>
    </w:p>
    <w:p>
      <w:pPr>
        <w:spacing w:after="0" w:line="134"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maintain the listing of our common stock on the Nasdaq Capital Market or another nationally recognized exchange;</w:t>
      </w:r>
    </w:p>
    <w:p>
      <w:pPr>
        <w:spacing w:after="0" w:line="184"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Litigation or public concern about the safety of our potential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588010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06" w:right="339" w:bottom="1440" w:gutter="0" w:footer="0" w:header="0"/>
        </w:sectPr>
      </w:pPr>
    </w:p>
    <w:bookmarkStart w:id="3" w:name="page4"/>
    <w:bookmarkEnd w:id="3"/>
    <w:p>
      <w:pPr>
        <w:ind w:left="340" w:hanging="332"/>
        <w:spacing w:after="0" w:line="282" w:lineRule="auto"/>
        <w:tabs>
          <w:tab w:leader="none" w:pos="33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Strict government regulations on our business, including various fraud and abuse laws, including, without limitation, the U.S. federal Anti-Kickback Statute, the U.S. federal False Claims Act and the U.S. Foreign Corrupt Practices Act;</w:t>
      </w:r>
    </w:p>
    <w:p>
      <w:pPr>
        <w:spacing w:after="0" w:line="134"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Regulations governing the production or marketing of our product candidates;</w:t>
      </w:r>
    </w:p>
    <w:p>
      <w:pPr>
        <w:spacing w:after="0" w:line="184"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Loss of, or inability to attract, key personnel; and</w:t>
      </w:r>
    </w:p>
    <w:p>
      <w:pPr>
        <w:spacing w:after="0" w:line="184" w:lineRule="exact"/>
        <w:rPr>
          <w:rFonts w:ascii="Arial" w:cs="Arial" w:eastAsia="Arial" w:hAnsi="Arial"/>
          <w:sz w:val="18"/>
          <w:szCs w:val="18"/>
          <w:i w:val="1"/>
          <w:iCs w:val="1"/>
          <w:color w:val="auto"/>
        </w:rPr>
      </w:pPr>
    </w:p>
    <w:p>
      <w:pPr>
        <w:ind w:left="340" w:hanging="332"/>
        <w:spacing w:after="0" w:line="282" w:lineRule="auto"/>
        <w:tabs>
          <w:tab w:leader="none" w:pos="33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costs as a result of operating as a public company, and substantial time devoted by our management to compliance initiatives and corporate governance practices.</w:t>
      </w:r>
    </w:p>
    <w:p>
      <w:pPr>
        <w:spacing w:after="0" w:line="13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4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900" w:type="dxa"/>
            <w:vAlign w:val="bottom"/>
            <w:gridSpan w:val="8"/>
            <w:vMerge w:val="restart"/>
          </w:tcPr>
          <w:p>
            <w:pPr>
              <w:spacing w:after="0"/>
              <w:rPr>
                <w:rFonts w:ascii="Arial" w:cs="Arial" w:eastAsia="Arial" w:hAnsi="Arial"/>
                <w:sz w:val="18"/>
                <w:szCs w:val="18"/>
                <w:b w:val="1"/>
                <w:bCs w:val="1"/>
                <w:color w:val="0000FF"/>
                <w:w w:val="95"/>
              </w:rPr>
            </w:pPr>
            <w:hyperlink w:anchor="page5">
              <w:r>
                <w:rPr>
                  <w:rFonts w:ascii="Arial" w:cs="Arial" w:eastAsia="Arial" w:hAnsi="Arial"/>
                  <w:sz w:val="18"/>
                  <w:szCs w:val="18"/>
                  <w:b w:val="1"/>
                  <w:bCs w:val="1"/>
                  <w:color w:val="0000FF"/>
                  <w:w w:val="95"/>
                </w:rPr>
                <w:t>PART I. FINANCIAL INFORMATION</w:t>
              </w:r>
            </w:hyperlink>
          </w:p>
        </w:tc>
        <w:tc>
          <w:tcPr>
            <w:tcW w:w="6500" w:type="dxa"/>
            <w:vAlign w:val="bottom"/>
            <w:gridSpan w:val="5"/>
            <w:vMerge w:val="restart"/>
          </w:tcPr>
          <w:p>
            <w:pPr>
              <w:spacing w:after="0"/>
              <w:rPr>
                <w:sz w:val="14"/>
                <w:szCs w:val="14"/>
                <w:color w:val="auto"/>
              </w:rPr>
            </w:pPr>
          </w:p>
        </w:tc>
        <w:tc>
          <w:tcPr>
            <w:tcW w:w="1820" w:type="dxa"/>
            <w:vAlign w:val="bottom"/>
            <w:gridSpan w:val="4"/>
          </w:tcPr>
          <w:p>
            <w:pPr>
              <w:jc w:val="right"/>
              <w:ind w:right="14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00" w:type="dxa"/>
            <w:vAlign w:val="bottom"/>
            <w:tcBorders>
              <w:bottom w:val="single" w:sz="8" w:color="0000FF"/>
            </w:tcBorders>
            <w:gridSpan w:val="8"/>
            <w:vMerge w:val="continue"/>
          </w:tcPr>
          <w:p>
            <w:pPr>
              <w:spacing w:after="0"/>
              <w:rPr>
                <w:sz w:val="16"/>
                <w:szCs w:val="16"/>
                <w:color w:val="auto"/>
              </w:rPr>
            </w:pPr>
          </w:p>
        </w:tc>
        <w:tc>
          <w:tcPr>
            <w:tcW w:w="6500" w:type="dxa"/>
            <w:vAlign w:val="bottom"/>
            <w:gridSpan w:val="5"/>
            <w:vMerge w:val="continue"/>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4700" w:type="dxa"/>
            <w:vAlign w:val="bottom"/>
            <w:gridSpan w:val="9"/>
          </w:tcPr>
          <w:p>
            <w:pPr>
              <w:spacing w:after="0"/>
              <w:rPr>
                <w:rFonts w:ascii="Arial" w:cs="Arial" w:eastAsia="Arial" w:hAnsi="Arial"/>
                <w:sz w:val="18"/>
                <w:szCs w:val="18"/>
                <w:color w:val="0000FF"/>
                <w:w w:val="98"/>
              </w:rPr>
            </w:pPr>
            <w:hyperlink w:anchor="page6">
              <w:r>
                <w:rPr>
                  <w:rFonts w:ascii="Arial" w:cs="Arial" w:eastAsia="Arial" w:hAnsi="Arial"/>
                  <w:sz w:val="18"/>
                  <w:szCs w:val="18"/>
                  <w:color w:val="0000FF"/>
                  <w:w w:val="98"/>
                </w:rPr>
                <w:t>Condensed Consolidated Financial Statements (Unaudited)</w:t>
              </w:r>
            </w:hyperlink>
          </w:p>
        </w:tc>
        <w:tc>
          <w:tcPr>
            <w:tcW w:w="3720" w:type="dxa"/>
            <w:vAlign w:val="bottom"/>
            <w:gridSpan w:val="3"/>
          </w:tcPr>
          <w:p>
            <w:pPr>
              <w:spacing w:after="0"/>
              <w:rPr>
                <w:sz w:val="22"/>
                <w:szCs w:val="22"/>
                <w:color w:val="auto"/>
              </w:rPr>
            </w:pPr>
          </w:p>
        </w:tc>
        <w:tc>
          <w:tcPr>
            <w:tcW w:w="1700" w:type="dxa"/>
            <w:vAlign w:val="bottom"/>
            <w:gridSpan w:val="2"/>
          </w:tcPr>
          <w:p>
            <w:pPr>
              <w:spacing w:after="0"/>
              <w:rPr>
                <w:sz w:val="22"/>
                <w:szCs w:val="22"/>
                <w:color w:val="auto"/>
              </w:rPr>
            </w:pPr>
          </w:p>
        </w:tc>
        <w:tc>
          <w:tcPr>
            <w:tcW w:w="120" w:type="dxa"/>
            <w:vAlign w:val="bottom"/>
            <w:gridSpan w:val="2"/>
          </w:tcPr>
          <w:p>
            <w:pPr>
              <w:jc w:val="right"/>
              <w:ind w:right="2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1"/>
          </w:tcPr>
          <w:p>
            <w:pPr>
              <w:spacing w:after="0"/>
              <w:rPr>
                <w:rFonts w:ascii="Arial" w:cs="Arial" w:eastAsia="Arial" w:hAnsi="Arial"/>
                <w:sz w:val="18"/>
                <w:szCs w:val="18"/>
                <w:color w:val="0000FF"/>
                <w:w w:val="99"/>
              </w:rPr>
            </w:pPr>
            <w:hyperlink w:anchor="page27">
              <w:r>
                <w:rPr>
                  <w:rFonts w:ascii="Arial" w:cs="Arial" w:eastAsia="Arial" w:hAnsi="Arial"/>
                  <w:sz w:val="18"/>
                  <w:szCs w:val="18"/>
                  <w:color w:val="0000FF"/>
                  <w:w w:val="99"/>
                </w:rPr>
                <w:t>Management's Discussion and Analysis of Financial Condition and Results of Operations</w:t>
              </w:r>
            </w:hyperlink>
          </w:p>
        </w:tc>
        <w:tc>
          <w:tcPr>
            <w:tcW w:w="13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23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11"/>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Quantitative and Qualitative Disclosures About Market Risk</w:t>
              </w:r>
            </w:hyperlink>
          </w:p>
        </w:tc>
        <w:tc>
          <w:tcPr>
            <w:tcW w:w="13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9"/>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Controls and Procedures</w:t>
              </w:r>
            </w:hyperlink>
          </w:p>
        </w:tc>
        <w:tc>
          <w:tcPr>
            <w:tcW w:w="3720" w:type="dxa"/>
            <w:vAlign w:val="bottom"/>
            <w:gridSpan w:val="3"/>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20" w:type="dxa"/>
            <w:vAlign w:val="bottom"/>
          </w:tcPr>
          <w:p>
            <w:pPr>
              <w:spacing w:after="0"/>
              <w:rPr>
                <w:sz w:val="24"/>
                <w:szCs w:val="24"/>
                <w:color w:val="auto"/>
              </w:rPr>
            </w:pPr>
          </w:p>
        </w:tc>
        <w:tc>
          <w:tcPr>
            <w:tcW w:w="9400" w:type="dxa"/>
            <w:vAlign w:val="bottom"/>
            <w:gridSpan w:val="13"/>
          </w:tcPr>
          <w:p>
            <w:pPr>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PART II. OTHER INFORMATION</w:t>
              </w:r>
            </w:hyperlink>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680" w:type="dxa"/>
            <w:vAlign w:val="bottom"/>
            <w:tcBorders>
              <w:top w:val="single" w:sz="8" w:color="0000FF"/>
            </w:tcBorders>
            <w:gridSpan w:val="6"/>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Legal Proceedings</w:t>
              </w:r>
            </w:hyperlink>
          </w:p>
        </w:tc>
        <w:tc>
          <w:tcPr>
            <w:tcW w:w="6740" w:type="dxa"/>
            <w:vAlign w:val="bottom"/>
            <w:gridSpan w:val="6"/>
          </w:tcPr>
          <w:p>
            <w:pPr>
              <w:spacing w:after="0"/>
              <w:rPr>
                <w:sz w:val="22"/>
                <w:szCs w:val="22"/>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2"/>
          </w:tcPr>
          <w:p>
            <w:pPr>
              <w:spacing w:after="0"/>
              <w:rPr>
                <w:rFonts w:ascii="Arial" w:cs="Arial" w:eastAsia="Arial" w:hAnsi="Arial"/>
                <w:sz w:val="18"/>
                <w:szCs w:val="18"/>
                <w:color w:val="0000FF"/>
                <w:w w:val="97"/>
              </w:rPr>
            </w:pPr>
            <w:hyperlink w:anchor="page39">
              <w:r>
                <w:rPr>
                  <w:rFonts w:ascii="Arial" w:cs="Arial" w:eastAsia="Arial" w:hAnsi="Arial"/>
                  <w:sz w:val="18"/>
                  <w:szCs w:val="18"/>
                  <w:color w:val="0000FF"/>
                  <w:w w:val="97"/>
                </w:rPr>
                <w:t>Risk Factors</w:t>
              </w:r>
            </w:hyperlink>
          </w:p>
        </w:tc>
        <w:tc>
          <w:tcPr>
            <w:tcW w:w="480" w:type="dxa"/>
            <w:vAlign w:val="bottom"/>
            <w:gridSpan w:val="3"/>
          </w:tcPr>
          <w:p>
            <w:pPr>
              <w:spacing w:after="0"/>
              <w:rPr>
                <w:sz w:val="22"/>
                <w:szCs w:val="22"/>
                <w:color w:val="auto"/>
              </w:rPr>
            </w:pPr>
          </w:p>
        </w:tc>
        <w:tc>
          <w:tcPr>
            <w:tcW w:w="6940" w:type="dxa"/>
            <w:vAlign w:val="bottom"/>
            <w:gridSpan w:val="7"/>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8420" w:type="dxa"/>
            <w:vAlign w:val="bottom"/>
            <w:gridSpan w:val="12"/>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Unregistered Sales of Equity Securities and Use of Proceeds</w:t>
              </w:r>
            </w:hyperlink>
          </w:p>
        </w:tc>
        <w:tc>
          <w:tcPr>
            <w:tcW w:w="182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4840" w:type="dxa"/>
            <w:vAlign w:val="bottom"/>
            <w:gridSpan w:val="10"/>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Defaults Upon Senior Securities</w:t>
              </w:r>
            </w:hyperlink>
          </w:p>
        </w:tc>
        <w:tc>
          <w:tcPr>
            <w:tcW w:w="3580" w:type="dxa"/>
            <w:vAlign w:val="bottom"/>
            <w:gridSpan w:val="2"/>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5880" w:type="dxa"/>
            <w:vAlign w:val="bottom"/>
            <w:gridSpan w:val="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2540" w:type="dxa"/>
            <w:vAlign w:val="bottom"/>
            <w:gridSpan w:val="8"/>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Mine Safety Disclosures</w:t>
              </w:r>
            </w:hyperlink>
          </w:p>
        </w:tc>
        <w:tc>
          <w:tcPr>
            <w:tcW w:w="5880" w:type="dxa"/>
            <w:vAlign w:val="bottom"/>
            <w:gridSpan w:val="4"/>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5.</w:t>
            </w:r>
          </w:p>
        </w:tc>
        <w:tc>
          <w:tcPr>
            <w:tcW w:w="1400" w:type="dxa"/>
            <w:vAlign w:val="bottom"/>
            <w:gridSpan w:val="4"/>
          </w:tcPr>
          <w:p>
            <w:pPr>
              <w:spacing w:after="0"/>
              <w:rPr>
                <w:rFonts w:ascii="Arial" w:cs="Arial" w:eastAsia="Arial" w:hAnsi="Arial"/>
                <w:sz w:val="18"/>
                <w:szCs w:val="18"/>
                <w:color w:val="0000FF"/>
                <w:w w:val="98"/>
              </w:rPr>
            </w:pPr>
            <w:hyperlink w:anchor="page39">
              <w:r>
                <w:rPr>
                  <w:rFonts w:ascii="Arial" w:cs="Arial" w:eastAsia="Arial" w:hAnsi="Arial"/>
                  <w:sz w:val="18"/>
                  <w:szCs w:val="18"/>
                  <w:color w:val="0000FF"/>
                  <w:w w:val="98"/>
                </w:rPr>
                <w:t>Other Information</w:t>
              </w:r>
            </w:hyperlink>
          </w:p>
        </w:tc>
        <w:tc>
          <w:tcPr>
            <w:tcW w:w="520" w:type="dxa"/>
            <w:vAlign w:val="bottom"/>
            <w:gridSpan w:val="3"/>
          </w:tcPr>
          <w:p>
            <w:pPr>
              <w:spacing w:after="0"/>
              <w:rPr>
                <w:sz w:val="22"/>
                <w:szCs w:val="22"/>
                <w:color w:val="auto"/>
              </w:rPr>
            </w:pPr>
          </w:p>
        </w:tc>
        <w:tc>
          <w:tcPr>
            <w:tcW w:w="6500" w:type="dxa"/>
            <w:vAlign w:val="bottom"/>
            <w:gridSpan w:val="5"/>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20" w:type="dxa"/>
            <w:vAlign w:val="bottom"/>
            <w:gridSpan w:val="8"/>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1400" w:type="dxa"/>
            <w:vAlign w:val="bottom"/>
            <w:gridSpan w:val="4"/>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Exhibits</w:t>
              </w:r>
            </w:hyperlink>
          </w:p>
        </w:tc>
        <w:tc>
          <w:tcPr>
            <w:tcW w:w="7020" w:type="dxa"/>
            <w:vAlign w:val="bottom"/>
            <w:gridSpan w:val="8"/>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60" w:type="dxa"/>
            <w:vAlign w:val="bottom"/>
            <w:gridSpan w:val="9"/>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420" w:type="dxa"/>
            <w:vAlign w:val="bottom"/>
            <w:gridSpan w:val="12"/>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SIGNATURES</w:t>
              </w:r>
            </w:hyperlink>
          </w:p>
        </w:tc>
        <w:tc>
          <w:tcPr>
            <w:tcW w:w="182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36</w:t>
              </w:r>
            </w:hyperlink>
          </w:p>
        </w:tc>
        <w:tc>
          <w:tcPr>
            <w:tcW w:w="0" w:type="dxa"/>
            <w:vAlign w:val="bottom"/>
          </w:tcPr>
          <w:p>
            <w:pPr>
              <w:spacing w:after="0"/>
              <w:rPr>
                <w:sz w:val="1"/>
                <w:szCs w:val="1"/>
                <w:color w:val="auto"/>
              </w:rPr>
            </w:pPr>
          </w:p>
        </w:tc>
      </w:tr>
      <w:tr>
        <w:trPr>
          <w:trHeight w:val="1270"/>
        </w:trPr>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spacing w:after="0"/>
        <w:tabs>
          <w:tab w:leader="none" w:pos="82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60" w:type="dxa"/>
            <w:vAlign w:val="bottom"/>
          </w:tcPr>
          <w:p>
            <w:pPr>
              <w:jc w:val="right"/>
              <w:ind w:right="1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4,669,467</w:t>
            </w: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Other receivables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301,835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460,168</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1,637,089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1,854,277</w:t>
            </w:r>
          </w:p>
        </w:tc>
        <w:tc>
          <w:tcPr>
            <w:tcW w:w="0" w:type="dxa"/>
            <w:vAlign w:val="bottom"/>
          </w:tcPr>
          <w:p>
            <w:pPr>
              <w:spacing w:after="0"/>
              <w:rPr>
                <w:sz w:val="1"/>
                <w:szCs w:val="1"/>
                <w:color w:val="auto"/>
              </w:rPr>
            </w:pPr>
          </w:p>
        </w:tc>
      </w:tr>
      <w:tr>
        <w:trPr>
          <w:trHeight w:val="223"/>
        </w:trPr>
        <w:tc>
          <w:tcPr>
            <w:tcW w:w="8220" w:type="dxa"/>
            <w:vAlign w:val="bottom"/>
          </w:tcPr>
          <w:p>
            <w:pPr>
              <w:ind w:left="48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9,599,075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6,983,912</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37,930</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887,858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528,870</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10,518,453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7,550,712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 (deficit)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1,471,631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1,021,333</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2,519,925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3,359,718</w:t>
            </w: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Deferred grant funding</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672,430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1,564,553</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 payable</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367,285</w:t>
            </w: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Current portion of contingent consideration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444,448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347,712</w:t>
            </w:r>
          </w:p>
        </w:tc>
        <w:tc>
          <w:tcPr>
            <w:tcW w:w="0" w:type="dxa"/>
            <w:vAlign w:val="bottom"/>
          </w:tcPr>
          <w:p>
            <w:pPr>
              <w:spacing w:after="0"/>
              <w:rPr>
                <w:sz w:val="1"/>
                <w:szCs w:val="1"/>
                <w:color w:val="auto"/>
              </w:rPr>
            </w:pPr>
          </w:p>
        </w:tc>
      </w:tr>
      <w:tr>
        <w:trPr>
          <w:trHeight w:val="223"/>
        </w:trPr>
        <w:tc>
          <w:tcPr>
            <w:tcW w:w="8220" w:type="dxa"/>
            <w:vAlign w:val="bottom"/>
          </w:tcPr>
          <w:p>
            <w:pPr>
              <w:ind w:left="48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6,108,434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7,660,601</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license revenue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liabilities long-term</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151,786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41,844</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7,260,220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8,702,445</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8"/>
                <w:szCs w:val="18"/>
                <w:color w:val="auto"/>
              </w:rPr>
              <w:t>Commitments and contingencies (Note 7)</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 (deficit)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Preferred stock, $0.01 par value, 5,000,000 shares authorized; None issued and outstanding</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822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Common stock, $0.0001 par value; 120,000,000 shares authorized; 47,312,822 and 41,596,253</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and outstanding at March 31, 2021 and December 31, 2020, respectively</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(98,229)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(91,388)</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82,106,172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70,366,293</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(78,754,441)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(71,430,797)</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stockholders' equity (deficit)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3,258,233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(1,151,733)</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10,518,453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7,550,712</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Daré Bioscience</w:t>
      </w:r>
      <w:r>
        <w:rPr>
          <w:rFonts w:ascii="Arial" w:cs="Arial" w:eastAsia="Arial" w:hAnsi="Arial"/>
          <w:sz w:val="18"/>
          <w:szCs w:val="18"/>
          <w:color w:val="auto"/>
        </w:rPr>
        <w:t>,</w:t>
      </w:r>
      <w:r>
        <w:rPr>
          <w:rFonts w:ascii="Arial" w:cs="Arial" w:eastAsia="Arial" w:hAnsi="Arial"/>
          <w:sz w:val="18"/>
          <w:szCs w:val="18"/>
          <w:b w:val="1"/>
          <w:bCs w:val="1"/>
          <w:color w:val="auto"/>
        </w:rPr>
        <w:t xml:space="preserve"> Inc</w:t>
      </w:r>
      <w:r>
        <w:rPr>
          <w:rFonts w:ascii="Arial" w:cs="Arial" w:eastAsia="Arial" w:hAnsi="Arial"/>
          <w:sz w:val="18"/>
          <w:szCs w:val="18"/>
          <w:color w:val="auto"/>
        </w:rPr>
        <w:t>.</w:t>
      </w:r>
      <w:r>
        <w:rPr>
          <w:rFonts w:ascii="Arial" w:cs="Arial" w:eastAsia="Arial" w:hAnsi="Arial"/>
          <w:sz w:val="18"/>
          <w:szCs w:val="18"/>
          <w:b w:val="1"/>
          <w:bCs w:val="1"/>
          <w:color w:val="auto"/>
        </w:rPr>
        <w:t xml:space="preserve">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79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1,940,328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1,861,765</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5,728,206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2,379,804</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License fees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7,693,534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4,254,069</w:t>
            </w:r>
          </w:p>
        </w:tc>
        <w:tc>
          <w:tcPr>
            <w:tcW w:w="0" w:type="dxa"/>
            <w:vAlign w:val="bottom"/>
          </w:tcPr>
          <w:p>
            <w:pPr>
              <w:spacing w:after="0"/>
              <w:rPr>
                <w:sz w:val="1"/>
                <w:szCs w:val="1"/>
                <w:color w:val="auto"/>
              </w:rPr>
            </w:pP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(7,693,534)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(4,254,069)</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 on extinguishment of note payable</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369,887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1"/>
        </w:trPr>
        <w:tc>
          <w:tcPr>
            <w:tcW w:w="79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loss</w:t>
            </w:r>
          </w:p>
        </w:tc>
        <w:tc>
          <w:tcPr>
            <w:tcW w:w="36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(7,323,644)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(4,252,248)</w:t>
            </w:r>
          </w:p>
        </w:tc>
        <w:tc>
          <w:tcPr>
            <w:tcW w:w="0" w:type="dxa"/>
            <w:vAlign w:val="bottom"/>
          </w:tcPr>
          <w:p>
            <w:pPr>
              <w:spacing w:after="0"/>
              <w:rPr>
                <w:sz w:val="1"/>
                <w:szCs w:val="1"/>
                <w:color w:val="auto"/>
              </w:rPr>
            </w:pPr>
          </w:p>
        </w:tc>
      </w:tr>
      <w:tr>
        <w:trPr>
          <w:trHeight w:val="203"/>
        </w:trPr>
        <w:tc>
          <w:tcPr>
            <w:tcW w:w="7900" w:type="dxa"/>
            <w:vAlign w:val="bottom"/>
            <w:tcBorders>
              <w:top w:val="single" w:sz="8" w:color="CCEEFF"/>
            </w:tcBorders>
          </w:tcPr>
          <w:p>
            <w:pPr>
              <w:ind w:left="20"/>
              <w:spacing w:after="0" w:line="177" w:lineRule="exact"/>
              <w:rPr>
                <w:sz w:val="20"/>
                <w:szCs w:val="20"/>
                <w:color w:val="auto"/>
              </w:rPr>
            </w:pPr>
            <w:r>
              <w:rPr>
                <w:rFonts w:ascii="Arial" w:cs="Arial" w:eastAsia="Arial" w:hAnsi="Arial"/>
                <w:sz w:val="18"/>
                <w:szCs w:val="18"/>
                <w:color w:val="auto"/>
              </w:rPr>
              <w:t>Foreign currency translation adjustments</w:t>
            </w:r>
          </w:p>
        </w:tc>
        <w:tc>
          <w:tcPr>
            <w:tcW w:w="3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(6,841)</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(22,944)</w:t>
            </w:r>
          </w:p>
        </w:tc>
        <w:tc>
          <w:tcPr>
            <w:tcW w:w="0" w:type="dxa"/>
            <w:vAlign w:val="bottom"/>
          </w:tcPr>
          <w:p>
            <w:pPr>
              <w:spacing w:after="0"/>
              <w:rPr>
                <w:sz w:val="1"/>
                <w:szCs w:val="1"/>
                <w:color w:val="auto"/>
              </w:rPr>
            </w:pPr>
          </w:p>
        </w:tc>
      </w:tr>
      <w:tr>
        <w:trPr>
          <w:trHeight w:val="254"/>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(7,330,485)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(4,275,192)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Loss per common share - basic and diluted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0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number of common shares outstanding:</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240"/>
              <w:spacing w:after="0"/>
              <w:rPr>
                <w:sz w:val="20"/>
                <w:szCs w:val="20"/>
                <w:color w:val="auto"/>
              </w:rPr>
            </w:pPr>
            <w:r>
              <w:rPr>
                <w:rFonts w:ascii="Arial" w:cs="Arial" w:eastAsia="Arial" w:hAnsi="Arial"/>
                <w:sz w:val="18"/>
                <w:szCs w:val="18"/>
                <w:color w:val="auto"/>
              </w:rPr>
              <w:t>Basic and diluted</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44,502,582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23,799,396</w:t>
            </w: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 w:name="page8"/>
    <w:bookmarkEnd w:id="7"/>
    <w:p>
      <w:pPr>
        <w:jc w:val="center"/>
        <w:spacing w:after="0" w:line="278" w:lineRule="auto"/>
        <w:rPr>
          <w:sz w:val="20"/>
          <w:szCs w:val="20"/>
          <w:color w:val="auto"/>
        </w:rPr>
      </w:pPr>
      <w:r>
        <w:rPr>
          <w:rFonts w:ascii="Arial" w:cs="Arial" w:eastAsia="Arial" w:hAnsi="Arial"/>
          <w:sz w:val="18"/>
          <w:szCs w:val="18"/>
          <w:b w:val="1"/>
          <w:bCs w:val="1"/>
          <w:color w:val="auto"/>
        </w:rPr>
        <w:t>Daré Bioscience, Inc. and Subsidiaries Condensed Consolidated Statements of Stockholders’ Equity (Deficit) (Unaudited)</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2021</w:t>
      </w:r>
    </w:p>
    <w:p>
      <w:pPr>
        <w:spacing w:after="0" w:line="32" w:lineRule="exact"/>
        <w:rPr>
          <w:sz w:val="20"/>
          <w:szCs w:val="20"/>
          <w:color w:val="auto"/>
        </w:rPr>
      </w:pPr>
    </w:p>
    <w:tbl>
      <w:tblPr>
        <w:tblLayout w:type="fixed"/>
        <w:tblInd w:w="80" w:type="dxa"/>
        <w:tblCellMar>
          <w:top w:w="0" w:type="dxa"/>
          <w:left w:w="0" w:type="dxa"/>
          <w:bottom w:w="0" w:type="dxa"/>
          <w:right w:w="0" w:type="dxa"/>
        </w:tblCellMar>
      </w:tblPr>
      <w:tr>
        <w:trPr>
          <w:trHeight w:val="142"/>
        </w:trPr>
        <w:tc>
          <w:tcPr>
            <w:tcW w:w="29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Accumulated</w:t>
            </w: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center"/>
              <w:ind w:right="5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228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6"/>
                <w:szCs w:val="16"/>
                <w:color w:val="auto"/>
              </w:rPr>
            </w:pPr>
          </w:p>
        </w:tc>
        <w:tc>
          <w:tcPr>
            <w:tcW w:w="1180" w:type="dxa"/>
            <w:vAlign w:val="bottom"/>
          </w:tcPr>
          <w:p>
            <w:pPr>
              <w:jc w:val="center"/>
              <w:ind w:right="55"/>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3"/>
        </w:trPr>
        <w:tc>
          <w:tcPr>
            <w:tcW w:w="2960" w:type="dxa"/>
            <w:vAlign w:val="bottom"/>
          </w:tcPr>
          <w:p>
            <w:pPr>
              <w:spacing w:after="0"/>
              <w:rPr>
                <w:sz w:val="15"/>
                <w:szCs w:val="15"/>
                <w:color w:val="auto"/>
              </w:rPr>
            </w:pPr>
          </w:p>
        </w:tc>
        <w:tc>
          <w:tcPr>
            <w:tcW w:w="1360" w:type="dxa"/>
            <w:vAlign w:val="bottom"/>
            <w:gridSpan w:val="2"/>
          </w:tcPr>
          <w:p>
            <w:pPr>
              <w:ind w:left="3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loss</w:t>
            </w:r>
          </w:p>
        </w:tc>
        <w:tc>
          <w:tcPr>
            <w:tcW w:w="160" w:type="dxa"/>
            <w:vAlign w:val="bottom"/>
          </w:tcPr>
          <w:p>
            <w:pPr>
              <w:spacing w:after="0"/>
              <w:rPr>
                <w:sz w:val="15"/>
                <w:szCs w:val="15"/>
                <w:color w:val="auto"/>
              </w:rPr>
            </w:pPr>
          </w:p>
        </w:tc>
        <w:tc>
          <w:tcPr>
            <w:tcW w:w="1340" w:type="dxa"/>
            <w:vAlign w:val="bottom"/>
            <w:gridSpan w:val="2"/>
          </w:tcPr>
          <w:p>
            <w:pPr>
              <w:ind w:left="32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5"/>
                <w:szCs w:val="15"/>
                <w:color w:val="auto"/>
              </w:rPr>
            </w:pPr>
          </w:p>
        </w:tc>
        <w:tc>
          <w:tcPr>
            <w:tcW w:w="1180" w:type="dxa"/>
            <w:vAlign w:val="bottom"/>
          </w:tcPr>
          <w:p>
            <w:pPr>
              <w:jc w:val="center"/>
              <w:ind w:right="75"/>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223"/>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41,596,253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70,366,293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(91,388)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(71,430,797)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(1,151,733)</w:t>
            </w:r>
          </w:p>
        </w:tc>
        <w:tc>
          <w:tcPr>
            <w:tcW w:w="0" w:type="dxa"/>
            <w:vAlign w:val="bottom"/>
          </w:tcPr>
          <w:p>
            <w:pPr>
              <w:spacing w:after="0"/>
              <w:rPr>
                <w:sz w:val="1"/>
                <w:szCs w:val="1"/>
                <w:color w:val="auto"/>
              </w:rPr>
            </w:pP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365,911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365,911</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5,664,069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11,323,573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11,324,140</w:t>
            </w:r>
          </w:p>
        </w:tc>
        <w:tc>
          <w:tcPr>
            <w:tcW w:w="0" w:type="dxa"/>
            <w:vAlign w:val="bottom"/>
          </w:tcPr>
          <w:p>
            <w:pPr>
              <w:spacing w:after="0"/>
              <w:rPr>
                <w:sz w:val="1"/>
                <w:szCs w:val="1"/>
                <w:color w:val="auto"/>
              </w:rPr>
            </w:pPr>
          </w:p>
        </w:tc>
      </w:tr>
      <w:tr>
        <w:trPr>
          <w:trHeight w:val="188"/>
        </w:trPr>
        <w:tc>
          <w:tcPr>
            <w:tcW w:w="2960" w:type="dxa"/>
            <w:vAlign w:val="bottom"/>
          </w:tcPr>
          <w:p>
            <w:pPr>
              <w:spacing w:after="0" w:line="189" w:lineRule="exact"/>
              <w:rPr>
                <w:sz w:val="20"/>
                <w:szCs w:val="20"/>
                <w:color w:val="auto"/>
              </w:rPr>
            </w:pPr>
            <w:r>
              <w:rPr>
                <w:rFonts w:ascii="Arial" w:cs="Arial" w:eastAsia="Arial" w:hAnsi="Arial"/>
                <w:sz w:val="18"/>
                <w:szCs w:val="18"/>
                <w:color w:val="auto"/>
              </w:rPr>
              <w:t>Issuance of common stock from the</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960" w:type="dxa"/>
            <w:vAlign w:val="bottom"/>
          </w:tcPr>
          <w:p>
            <w:pPr>
              <w:spacing w:after="0"/>
              <w:rPr>
                <w:sz w:val="20"/>
                <w:szCs w:val="20"/>
                <w:color w:val="auto"/>
              </w:rPr>
            </w:pPr>
            <w:r>
              <w:rPr>
                <w:rFonts w:ascii="Arial" w:cs="Arial" w:eastAsia="Arial" w:hAnsi="Arial"/>
                <w:sz w:val="18"/>
                <w:szCs w:val="18"/>
                <w:color w:val="auto"/>
              </w:rPr>
              <w:t>exercise of warrants</w:t>
            </w:r>
          </w:p>
        </w:tc>
        <w:tc>
          <w:tcPr>
            <w:tcW w:w="1260" w:type="dxa"/>
            <w:vAlign w:val="bottom"/>
          </w:tcPr>
          <w:p>
            <w:pPr>
              <w:jc w:val="right"/>
              <w:spacing w:after="0"/>
              <w:rPr>
                <w:sz w:val="20"/>
                <w:szCs w:val="20"/>
                <w:color w:val="auto"/>
              </w:rPr>
            </w:pPr>
            <w:r>
              <w:rPr>
                <w:rFonts w:ascii="Arial" w:cs="Arial" w:eastAsia="Arial" w:hAnsi="Arial"/>
                <w:sz w:val="18"/>
                <w:szCs w:val="18"/>
                <w:color w:val="auto"/>
              </w:rPr>
              <w:t>52,500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50,395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50,400</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(7,323,644)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(7,323,644)</w:t>
            </w:r>
          </w:p>
        </w:tc>
        <w:tc>
          <w:tcPr>
            <w:tcW w:w="0" w:type="dxa"/>
            <w:vAlign w:val="bottom"/>
          </w:tcPr>
          <w:p>
            <w:pPr>
              <w:spacing w:after="0"/>
              <w:rPr>
                <w:sz w:val="1"/>
                <w:szCs w:val="1"/>
                <w:color w:val="auto"/>
              </w:rPr>
            </w:pPr>
          </w:p>
        </w:tc>
      </w:tr>
      <w:tr>
        <w:trPr>
          <w:trHeight w:val="188"/>
        </w:trPr>
        <w:tc>
          <w:tcPr>
            <w:tcW w:w="2960" w:type="dxa"/>
            <w:vAlign w:val="bottom"/>
          </w:tcPr>
          <w:p>
            <w:pPr>
              <w:spacing w:after="0" w:line="189" w:lineRule="exact"/>
              <w:rPr>
                <w:sz w:val="20"/>
                <w:szCs w:val="20"/>
                <w:color w:val="auto"/>
              </w:rPr>
            </w:pPr>
            <w:r>
              <w:rPr>
                <w:rFonts w:ascii="Arial" w:cs="Arial" w:eastAsia="Arial" w:hAnsi="Arial"/>
                <w:sz w:val="18"/>
                <w:szCs w:val="18"/>
                <w:color w:val="auto"/>
              </w:rPr>
              <w:t>Foreign currency translation</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960" w:type="dxa"/>
            <w:vAlign w:val="bottom"/>
          </w:tcPr>
          <w:p>
            <w:pPr>
              <w:spacing w:after="0"/>
              <w:rPr>
                <w:sz w:val="20"/>
                <w:szCs w:val="20"/>
                <w:color w:val="auto"/>
              </w:rPr>
            </w:pPr>
            <w:r>
              <w:rPr>
                <w:rFonts w:ascii="Arial" w:cs="Arial" w:eastAsia="Arial" w:hAnsi="Arial"/>
                <w:sz w:val="18"/>
                <w:szCs w:val="18"/>
                <w:color w:val="auto"/>
              </w:rPr>
              <w:t>adjustments</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(6,841)</w:t>
            </w:r>
          </w:p>
        </w:tc>
        <w:tc>
          <w:tcPr>
            <w:tcW w:w="0" w:type="dxa"/>
            <w:vAlign w:val="bottom"/>
          </w:tcPr>
          <w:p>
            <w:pPr>
              <w:spacing w:after="0"/>
              <w:rPr>
                <w:sz w:val="1"/>
                <w:szCs w:val="1"/>
                <w:color w:val="auto"/>
              </w:rPr>
            </w:pPr>
          </w:p>
        </w:tc>
      </w:tr>
      <w:tr>
        <w:trPr>
          <w:trHeight w:val="248"/>
        </w:trPr>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2021</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47,312,822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82,106,172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(98,229)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(78,754,441)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3,258,233</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Accumulated</w:t>
            </w: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center"/>
              <w:ind w:right="7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226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6"/>
                <w:szCs w:val="16"/>
                <w:color w:val="auto"/>
              </w:rPr>
            </w:pPr>
          </w:p>
        </w:tc>
        <w:tc>
          <w:tcPr>
            <w:tcW w:w="1160" w:type="dxa"/>
            <w:vAlign w:val="bottom"/>
          </w:tcPr>
          <w:p>
            <w:pPr>
              <w:jc w:val="center"/>
              <w:ind w:right="75"/>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1360" w:type="dxa"/>
            <w:vAlign w:val="bottom"/>
            <w:gridSpan w:val="2"/>
          </w:tcPr>
          <w:p>
            <w:pPr>
              <w:ind w:left="3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loss</w:t>
            </w:r>
          </w:p>
        </w:tc>
        <w:tc>
          <w:tcPr>
            <w:tcW w:w="180" w:type="dxa"/>
            <w:vAlign w:val="bottom"/>
          </w:tcPr>
          <w:p>
            <w:pPr>
              <w:spacing w:after="0"/>
              <w:rPr>
                <w:sz w:val="15"/>
                <w:szCs w:val="15"/>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5"/>
                <w:szCs w:val="15"/>
                <w:color w:val="auto"/>
              </w:rPr>
            </w:pPr>
          </w:p>
        </w:tc>
        <w:tc>
          <w:tcPr>
            <w:tcW w:w="1160" w:type="dxa"/>
            <w:vAlign w:val="bottom"/>
          </w:tcPr>
          <w:p>
            <w:pPr>
              <w:jc w:val="center"/>
              <w:ind w:right="75"/>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19,683,401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44,564,674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(102,625)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(44,023,191)</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440,826</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160,841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160,841</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3,308,003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5,222,356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5,222,687</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line="189" w:lineRule="exact"/>
              <w:rPr>
                <w:sz w:val="20"/>
                <w:szCs w:val="20"/>
                <w:color w:val="auto"/>
              </w:rPr>
            </w:pPr>
            <w:r>
              <w:rPr>
                <w:rFonts w:ascii="Arial" w:cs="Arial" w:eastAsia="Arial" w:hAnsi="Arial"/>
                <w:sz w:val="18"/>
                <w:szCs w:val="18"/>
                <w:color w:val="auto"/>
              </w:rPr>
              <w:t>Issuance of common stock from the</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80" w:type="dxa"/>
            <w:vAlign w:val="bottom"/>
          </w:tcPr>
          <w:p>
            <w:pPr>
              <w:ind w:left="20"/>
              <w:spacing w:after="0"/>
              <w:rPr>
                <w:sz w:val="20"/>
                <w:szCs w:val="20"/>
                <w:color w:val="auto"/>
              </w:rPr>
            </w:pPr>
            <w:r>
              <w:rPr>
                <w:rFonts w:ascii="Arial" w:cs="Arial" w:eastAsia="Arial" w:hAnsi="Arial"/>
                <w:sz w:val="18"/>
                <w:szCs w:val="18"/>
                <w:color w:val="auto"/>
              </w:rPr>
              <w:t>exercise of warrants</w:t>
            </w:r>
          </w:p>
        </w:tc>
        <w:tc>
          <w:tcPr>
            <w:tcW w:w="1240" w:type="dxa"/>
            <w:vAlign w:val="bottom"/>
          </w:tcPr>
          <w:p>
            <w:pPr>
              <w:jc w:val="right"/>
              <w:spacing w:after="0"/>
              <w:rPr>
                <w:sz w:val="20"/>
                <w:szCs w:val="20"/>
                <w:color w:val="auto"/>
              </w:rPr>
            </w:pPr>
            <w:r>
              <w:rPr>
                <w:rFonts w:ascii="Arial" w:cs="Arial" w:eastAsia="Arial" w:hAnsi="Arial"/>
                <w:sz w:val="18"/>
                <w:szCs w:val="18"/>
                <w:color w:val="auto"/>
              </w:rPr>
              <w:t>1,699,000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1,664,850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1,665,020</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 exercised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(4,252,248)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(4,252,248)</w:t>
            </w:r>
          </w:p>
        </w:tc>
        <w:tc>
          <w:tcPr>
            <w:tcW w:w="0" w:type="dxa"/>
            <w:vAlign w:val="bottom"/>
          </w:tcPr>
          <w:p>
            <w:pPr>
              <w:spacing w:after="0"/>
              <w:rPr>
                <w:sz w:val="1"/>
                <w:szCs w:val="1"/>
                <w:color w:val="auto"/>
              </w:rPr>
            </w:pPr>
          </w:p>
        </w:tc>
      </w:tr>
      <w:tr>
        <w:trPr>
          <w:trHeight w:val="188"/>
        </w:trPr>
        <w:tc>
          <w:tcPr>
            <w:tcW w:w="3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Foreign currency translation</w:t>
            </w: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(22,944)</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24,700,553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51,612,721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(125,569)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(48,275,439)</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3,214,183</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8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(7,323,644)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(4,252,248)</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adjustments reconciling net loss to operating cash flows: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11,949</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160,841</w:t>
            </w: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Non-cash operating lease cost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(24,224)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(55,786)</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extinguishment of notes payable and accrued interest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receivables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125,488</w:t>
            </w: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217,188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(2,736,149)</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non-current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38,682</w:t>
            </w: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450,298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448,314</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(408,027)</w:t>
            </w: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Deferred grant funding</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(892,123)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(930,610)</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license revenue</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(8,377,015)</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(6,597,546)</w:t>
            </w: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Net proceeds from issuance of common stock</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11,324,140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5,222,687</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the exercise of common stock warrants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1,665,020</w:t>
            </w: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Proceeds from the exercise of stock options</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11,374,540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6,887,708</w:t>
            </w:r>
          </w:p>
        </w:tc>
        <w:tc>
          <w:tcPr>
            <w:tcW w:w="0" w:type="dxa"/>
            <w:vAlign w:val="bottom"/>
          </w:tcPr>
          <w:p>
            <w:pPr>
              <w:spacing w:after="0"/>
              <w:rPr>
                <w:sz w:val="1"/>
                <w:szCs w:val="1"/>
                <w:color w:val="auto"/>
              </w:rPr>
            </w:pPr>
          </w:p>
        </w:tc>
      </w:tr>
      <w:tr>
        <w:trPr>
          <w:trHeight w:val="223"/>
        </w:trPr>
        <w:tc>
          <w:tcPr>
            <w:tcW w:w="8220" w:type="dxa"/>
            <w:vAlign w:val="bottom"/>
          </w:tcPr>
          <w:p>
            <w:pPr>
              <w:ind w:left="22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(22,944)</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2,990,684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267,218</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4,669,467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4,780,107</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7,660,151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5,047,325</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Supplemental disclosure of non-cash operating and financing activities: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Forgiveness of Paycheck Protection Program note payable and accrued interest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tcPr>
          <w:p>
            <w:pPr>
              <w:ind w:left="260"/>
              <w:spacing w:after="0"/>
              <w:rPr>
                <w:sz w:val="20"/>
                <w:szCs w:val="20"/>
                <w:color w:val="auto"/>
              </w:rPr>
            </w:pPr>
            <w:r>
              <w:rPr>
                <w:rFonts w:ascii="Arial" w:cs="Arial" w:eastAsia="Arial" w:hAnsi="Arial"/>
                <w:sz w:val="18"/>
                <w:szCs w:val="18"/>
                <w:color w:val="auto"/>
              </w:rPr>
              <w:t>Operating right-of-use assets obtained in exchange for new operating lease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308,533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6"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Daré Bioscience, Inc. is a clinical-stage biopharmaceutical company committed to advancing innovative products for women’s health. Daré Bioscience, Inc. and its wholly owned subsidiaries operate in one segment. In this report, the “Company” refers collectively to Daré Bioscience, Inc. and its wholly owned subsidiaries, unless otherwise stated or the context otherwise requires.</w:t>
      </w:r>
    </w:p>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is driven by a mission to identify, develop and bring to market a diverse portfolio of differentiated therapies that expand treatment options, improve outcomes and facilitate convenience for women, primarily in the areas of contraception, vaginal health, sexual health and fertility. The Company's business strategy is to in-license or otherwise acquire the rights to differentiated product candidates in the Company's areas of focus, some of which have existing clinical proof-of-concept data, to take those candidates through mid to late-stage clinical development, and to establish and leverage strategic partnerships to achieve commercialization.</w:t>
      </w:r>
    </w:p>
    <w:p>
      <w:pPr>
        <w:spacing w:after="0" w:line="16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Since July 2017, the Company has assembled a portfolio of clinical-stage and pre-clinical-stage candidates. While the Company will continue to assess opportunities to expand its portfolio, its current focus is on advancing its existing product candidates through mid and late stages of clinical development or approval. The Company's portfolio includes three product candidates in advanced clinical development:</w:t>
      </w:r>
    </w:p>
    <w:p>
      <w:pPr>
        <w:spacing w:after="0" w:line="153" w:lineRule="exact"/>
        <w:rPr>
          <w:sz w:val="20"/>
          <w:szCs w:val="20"/>
          <w:color w:val="auto"/>
        </w:rPr>
      </w:pPr>
    </w:p>
    <w:p>
      <w:pPr>
        <w:ind w:left="1300" w:hanging="320"/>
        <w:spacing w:after="0" w:line="287"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DARE-BV1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novel thermosetting bioadhesive hydrogel formulated with clindamycin phosphate 2% to be administered in a</w:t>
      </w:r>
      <w:r>
        <w:rPr>
          <w:rFonts w:ascii="Arial" w:cs="Arial" w:eastAsia="Arial" w:hAnsi="Arial"/>
          <w:sz w:val="18"/>
          <w:szCs w:val="18"/>
          <w:b w:val="1"/>
          <w:bCs w:val="1"/>
          <w:color w:val="auto"/>
        </w:rPr>
        <w:t xml:space="preserve"> </w:t>
      </w:r>
      <w:r>
        <w:rPr>
          <w:rFonts w:ascii="Arial" w:cs="Arial" w:eastAsia="Arial" w:hAnsi="Arial"/>
          <w:sz w:val="18"/>
          <w:szCs w:val="18"/>
          <w:color w:val="auto"/>
        </w:rPr>
        <w:t>single vaginally delivered application, as a first line treatment for bacterial vaginosis;</w:t>
      </w:r>
    </w:p>
    <w:p>
      <w:pPr>
        <w:spacing w:after="0" w:line="112"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Ovaprene®</w:t>
      </w:r>
      <w:r>
        <w:rPr>
          <w:rFonts w:ascii="Arial" w:cs="Arial" w:eastAsia="Arial" w:hAnsi="Arial"/>
          <w:sz w:val="18"/>
          <w:szCs w:val="18"/>
          <w:color w:val="auto"/>
        </w:rPr>
        <w:t>, a hormone-free, monthly vaginal contraceptive; and</w:t>
      </w:r>
    </w:p>
    <w:p>
      <w:pPr>
        <w:spacing w:after="0" w:line="184" w:lineRule="exact"/>
        <w:rPr>
          <w:rFonts w:ascii="Arial" w:cs="Arial" w:eastAsia="Arial" w:hAnsi="Arial"/>
          <w:sz w:val="18"/>
          <w:szCs w:val="18"/>
          <w:color w:val="auto"/>
        </w:rPr>
      </w:pPr>
    </w:p>
    <w:p>
      <w:pPr>
        <w:ind w:left="1300" w:hanging="320"/>
        <w:spacing w:after="0" w:line="287"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Sildenafil Cream, 3.6%</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proprietary cream formulation of sildenafil for topical administration to the vulva and vagina for</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female sexual arousal disorder.</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portfolio also includes three product candidates in Phase 1 clinical development or that it believes are Phase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ready:</w:t>
      </w:r>
    </w:p>
    <w:p>
      <w:pPr>
        <w:spacing w:after="0" w:line="163" w:lineRule="exact"/>
        <w:rPr>
          <w:sz w:val="20"/>
          <w:szCs w:val="20"/>
          <w:color w:val="auto"/>
        </w:rPr>
      </w:pPr>
    </w:p>
    <w:p>
      <w:pPr>
        <w:ind w:left="1300" w:right="20" w:hanging="320"/>
        <w:spacing w:after="0" w:line="287"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DARE-HRT1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combination bio-identical estradiol and progesterone intravaginal ring for the treatment of menopausal</w:t>
      </w:r>
      <w:r>
        <w:rPr>
          <w:rFonts w:ascii="Arial" w:cs="Arial" w:eastAsia="Arial" w:hAnsi="Arial"/>
          <w:sz w:val="18"/>
          <w:szCs w:val="18"/>
          <w:b w:val="1"/>
          <w:bCs w:val="1"/>
          <w:color w:val="auto"/>
        </w:rPr>
        <w:t xml:space="preserve"> </w:t>
      </w:r>
      <w:r>
        <w:rPr>
          <w:rFonts w:ascii="Arial" w:cs="Arial" w:eastAsia="Arial" w:hAnsi="Arial"/>
          <w:sz w:val="18"/>
          <w:szCs w:val="18"/>
          <w:color w:val="auto"/>
        </w:rPr>
        <w:t>symptoms, including vasomotor symptoms, as part of a hormone therapy following menopause;</w:t>
      </w:r>
    </w:p>
    <w:p>
      <w:pPr>
        <w:spacing w:after="0" w:line="112" w:lineRule="exact"/>
        <w:rPr>
          <w:rFonts w:ascii="Arial" w:cs="Arial" w:eastAsia="Arial" w:hAnsi="Arial"/>
          <w:sz w:val="18"/>
          <w:szCs w:val="18"/>
          <w:color w:val="auto"/>
        </w:rPr>
      </w:pPr>
    </w:p>
    <w:p>
      <w:pPr>
        <w:ind w:left="1300" w:hanging="320"/>
        <w:spacing w:after="0" w:line="287"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DARE-FRT1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 intravaginal ring containing bio-identical progesterone for the prevention of preterm birth and broader luteal</w:t>
      </w:r>
      <w:r>
        <w:rPr>
          <w:rFonts w:ascii="Arial" w:cs="Arial" w:eastAsia="Arial" w:hAnsi="Arial"/>
          <w:sz w:val="18"/>
          <w:szCs w:val="18"/>
          <w:b w:val="1"/>
          <w:bCs w:val="1"/>
          <w:color w:val="auto"/>
        </w:rPr>
        <w:t xml:space="preserve"> </w:t>
      </w:r>
      <w:r>
        <w:rPr>
          <w:rFonts w:ascii="Arial" w:cs="Arial" w:eastAsia="Arial" w:hAnsi="Arial"/>
          <w:sz w:val="18"/>
          <w:szCs w:val="18"/>
          <w:color w:val="auto"/>
        </w:rPr>
        <w:t>phase support as part of an in vitro fertilization treatment plan; and</w:t>
      </w:r>
    </w:p>
    <w:p>
      <w:pPr>
        <w:spacing w:after="0" w:line="125" w:lineRule="exact"/>
        <w:rPr>
          <w:rFonts w:ascii="Arial" w:cs="Arial" w:eastAsia="Arial" w:hAnsi="Arial"/>
          <w:sz w:val="18"/>
          <w:szCs w:val="18"/>
          <w:color w:val="auto"/>
        </w:rPr>
      </w:pPr>
    </w:p>
    <w:p>
      <w:pPr>
        <w:ind w:left="1300" w:hanging="320"/>
        <w:spacing w:after="0" w:line="287"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DARE-VVA1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vaginally delivered formulation of tamoxifen to treat vulvar vaginal atrophy in patients with hormone-receptor</w:t>
      </w:r>
      <w:r>
        <w:rPr>
          <w:rFonts w:ascii="Arial" w:cs="Arial" w:eastAsia="Arial" w:hAnsi="Arial"/>
          <w:sz w:val="18"/>
          <w:szCs w:val="18"/>
          <w:b w:val="1"/>
          <w:bCs w:val="1"/>
          <w:color w:val="auto"/>
        </w:rPr>
        <w:t xml:space="preserve"> </w:t>
      </w:r>
      <w:r>
        <w:rPr>
          <w:rFonts w:ascii="Arial" w:cs="Arial" w:eastAsia="Arial" w:hAnsi="Arial"/>
          <w:sz w:val="18"/>
          <w:szCs w:val="18"/>
          <w:color w:val="auto"/>
        </w:rPr>
        <w:t>positive breast cancer.</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Company's portfolio includes these pre-clinical stage product candidates:</w:t>
      </w:r>
    </w:p>
    <w:p>
      <w:pPr>
        <w:spacing w:after="0" w:line="163" w:lineRule="exact"/>
        <w:rPr>
          <w:sz w:val="20"/>
          <w:szCs w:val="20"/>
          <w:color w:val="auto"/>
        </w:rPr>
      </w:pPr>
    </w:p>
    <w:p>
      <w:pPr>
        <w:ind w:left="1300" w:hanging="320"/>
        <w:spacing w:after="0" w:line="287"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DARE-LARC1</w:t>
      </w:r>
      <w:r>
        <w:rPr>
          <w:rFonts w:ascii="Arial" w:cs="Arial" w:eastAsia="Arial" w:hAnsi="Arial"/>
          <w:sz w:val="18"/>
          <w:szCs w:val="18"/>
          <w:color w:val="auto"/>
        </w:rPr>
        <w:t>, a combination product designed to provide long-acting, reversible contraception comprising an implantable,</w:t>
      </w:r>
      <w:r>
        <w:rPr>
          <w:rFonts w:ascii="Arial" w:cs="Arial" w:eastAsia="Arial" w:hAnsi="Arial"/>
          <w:sz w:val="18"/>
          <w:szCs w:val="18"/>
          <w:b w:val="1"/>
          <w:bCs w:val="1"/>
          <w:color w:val="auto"/>
        </w:rPr>
        <w:t xml:space="preserve"> </w:t>
      </w:r>
      <w:r>
        <w:rPr>
          <w:rFonts w:ascii="Arial" w:cs="Arial" w:eastAsia="Arial" w:hAnsi="Arial"/>
          <w:sz w:val="18"/>
          <w:szCs w:val="18"/>
          <w:color w:val="auto"/>
        </w:rPr>
        <w:t>user-controlled wireless drug delivery system and levonorgestrel;</w:t>
      </w:r>
    </w:p>
    <w:p>
      <w:pPr>
        <w:spacing w:after="0" w:line="125" w:lineRule="exact"/>
        <w:rPr>
          <w:rFonts w:ascii="Arial" w:cs="Arial" w:eastAsia="Arial" w:hAnsi="Arial"/>
          <w:sz w:val="18"/>
          <w:szCs w:val="18"/>
          <w:color w:val="auto"/>
        </w:rPr>
      </w:pPr>
    </w:p>
    <w:p>
      <w:pPr>
        <w:ind w:left="1300" w:right="20" w:hanging="320"/>
        <w:spacing w:after="0" w:line="287"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ORB-204 and ORB-214</w:t>
      </w:r>
      <w:r>
        <w:rPr>
          <w:rFonts w:ascii="Arial" w:cs="Arial" w:eastAsia="Arial" w:hAnsi="Arial"/>
          <w:sz w:val="18"/>
          <w:szCs w:val="18"/>
          <w:color w:val="auto"/>
        </w:rPr>
        <w:t>, injectable formulations of etonogestrel designed to provide contraception over 6-month and 12-month periods, respectively; and</w:t>
      </w:r>
    </w:p>
    <w:p>
      <w:pPr>
        <w:spacing w:after="0" w:line="112" w:lineRule="exact"/>
        <w:rPr>
          <w:rFonts w:ascii="Arial" w:cs="Arial" w:eastAsia="Arial" w:hAnsi="Arial"/>
          <w:sz w:val="18"/>
          <w:szCs w:val="18"/>
          <w:color w:val="auto"/>
        </w:rPr>
      </w:pPr>
    </w:p>
    <w:p>
      <w:pPr>
        <w:ind w:left="1300" w:hanging="320"/>
        <w:spacing w:after="0" w:line="287"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DARE-RH1</w:t>
      </w:r>
      <w:r>
        <w:rPr>
          <w:rFonts w:ascii="Arial" w:cs="Arial" w:eastAsia="Arial" w:hAnsi="Arial"/>
          <w:sz w:val="18"/>
          <w:szCs w:val="18"/>
          <w:color w:val="auto"/>
        </w:rPr>
        <w:t>, a novel approach to non-hormonal contraception for both men and women by targeting the CatSper ion</w:t>
      </w:r>
      <w:r>
        <w:rPr>
          <w:rFonts w:ascii="Arial" w:cs="Arial" w:eastAsia="Arial" w:hAnsi="Arial"/>
          <w:sz w:val="18"/>
          <w:szCs w:val="18"/>
          <w:b w:val="1"/>
          <w:bCs w:val="1"/>
          <w:color w:val="auto"/>
        </w:rPr>
        <w:t xml:space="preserve"> </w:t>
      </w:r>
      <w:r>
        <w:rPr>
          <w:rFonts w:ascii="Arial" w:cs="Arial" w:eastAsia="Arial" w:hAnsi="Arial"/>
          <w:sz w:val="18"/>
          <w:szCs w:val="18"/>
          <w:color w:val="auto"/>
        </w:rPr>
        <w:t>channel.</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 w:name="page11"/>
    <w:bookmarkEnd w:id="10"/>
    <w:p>
      <w:pPr>
        <w:jc w:val="both"/>
        <w:ind w:firstLine="648"/>
        <w:spacing w:after="0" w:line="253" w:lineRule="auto"/>
        <w:rPr>
          <w:sz w:val="20"/>
          <w:szCs w:val="20"/>
          <w:color w:val="auto"/>
        </w:rPr>
      </w:pPr>
      <w:r>
        <w:rPr>
          <w:rFonts w:ascii="Arial" w:cs="Arial" w:eastAsia="Arial" w:hAnsi="Arial"/>
          <w:sz w:val="18"/>
          <w:szCs w:val="18"/>
          <w:color w:val="auto"/>
        </w:rPr>
        <w:t>The Company’s primary operations have consisted of, and are expected to continue to consist primarily of, research and development activities to advance its product candidates through clinical development and regulatory approval. The Company has focused on the advancement of DARE-BV1, Ovaprene, and Sildenafil Cream, 3.6%, and plans to continue to focus its resources on these product candidates for the remainder of 2021 and in 2022. In the first quarter of 2021, the Company also had significant research and development expenses for its DARE-LARC1 program, substantially all of which were supported by a grant from the Bill &amp; Melinda Gates Foundation.</w:t>
      </w:r>
    </w:p>
    <w:p>
      <w:pPr>
        <w:spacing w:after="0" w:line="17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To date, the Company has not obtained any regulatory approvals for any of its product candidates, commercialized any of its product candidates or generated any revenue. The Company is subject to several risks common to clinical-stage biopharmaceutical companies, including dependence on key individuals, competition from other companies, the need to develop commercially viable products in a timely and cost-effective manner, and the need to obtain adequate additional capital to fund the development of product candidates. The Company is also subject to several risks common to other companies in the industry, including rapid technology change, regulatory approval of products, uncertainty of market acceptance of products, competition from substitute products and larger companies, compliance with government regulations, protection of proprietary technology, dependence on third parties, and product liability.</w:t>
      </w:r>
    </w:p>
    <w:p>
      <w:pPr>
        <w:spacing w:after="0" w:line="9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 xml:space="preserve">The effect of the COVID-19 pandemic and efforts to reduce the spread of COVID-19 remain an evolving and uncertain risk to the Company's business, operating results, financial condition and stock price. Global vaccination efforts to control the pandemic have been underway for the past several months and the number of vaccinated adults in the U.S. is encouraging. However, uncertainty remains regarding the extent, availability and length of time to vaccinate a meaningful portion of the population, as well as the degree of efficacy of such vaccination efforts on the trajectory of the pandemic, including in light of the multiple variants of the virus that causes COVID-19 circulating globally and within the U.S. Challenges to vaccination efforts and other causes of virus spread may require local, state, federal and foreign governments to reimpose restrictions and/or shutdowns in various geographies. To date, neither government-imposed restrictions or other governmental actions nor the Company's remote working arrangements or those of its third-party service providers and contract manufacturers have materially affected the Company's ability to operate its business, and the Company has been able to advance its portfolio of product candidates in meaningful ways during the pandemic, including by commencing and completing a Phase 3 clinical trial of DARE-BV1 during 2020. However, the effects of the pandemic could have a material adverse impact on the Company's business, operating results and financial condition, including, without limitation, by adversely impacting the Company's ability to raise capital when needed or on terms favorable or acceptable to the Company, and by increasing the anticipated aggregate costs and timelines for the development and marketing approval of the Company's product candidates. Continued uncertainty regarding the duration and impact of the pandemic on the U.S. and global economies, workplace environments and capital markets, preclude any prediction as to the ultimate effect of the pandemic on the Company's business. For example, as it relates to the cost and timelines for the Company's ongoing and planned clinical trials, a spike in hospitalizations in the U.S. due to COVID-19 could cause healthcare industry resources to be diverted from participating in research and development activities for investigational products unrelated to the COVID-19 pandemic or other life threatening diseases and conditions, which could delay the commencement and/or completion of clinical trials for product candidates such as Sildenafil Cream, 3.6% and Ovaprene. Conversely, continued re-opening of the U.S. and global economies may delay enrollment in clinical trials for Sildenafil Cream, 3.6% and Ovaprene as individuals gain more freedom to travel and participate in other activities that have not been available to them since the beginning of the pandemic and may be less inclined to participate in or complete studies that require multiple clinic visits. See also the risk factor titled, </w:t>
      </w:r>
      <w:r>
        <w:rPr>
          <w:rFonts w:ascii="Arial" w:cs="Arial" w:eastAsia="Arial" w:hAnsi="Arial"/>
          <w:sz w:val="18"/>
          <w:szCs w:val="18"/>
          <w:i w:val="1"/>
          <w:iCs w:val="1"/>
          <w:color w:val="auto"/>
        </w:rPr>
        <w:t>The COVID-19 pandemic and efforts to reduce the spread of COVID-19 could negatively impact our business, including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by increasing the cost and timelines for our clinical development programs, </w:t>
      </w:r>
      <w:r>
        <w:rPr>
          <w:rFonts w:ascii="Arial" w:cs="Arial" w:eastAsia="Arial" w:hAnsi="Arial"/>
          <w:sz w:val="18"/>
          <w:szCs w:val="18"/>
          <w:color w:val="auto"/>
        </w:rPr>
        <w:t>in Part I, ITEM 1A, Risk Factors of the Company's annual report</w:t>
      </w:r>
      <w:r>
        <w:rPr>
          <w:rFonts w:ascii="Arial" w:cs="Arial" w:eastAsia="Arial" w:hAnsi="Arial"/>
          <w:sz w:val="18"/>
          <w:szCs w:val="18"/>
          <w:i w:val="1"/>
          <w:iCs w:val="1"/>
          <w:color w:val="auto"/>
        </w:rPr>
        <w:t xml:space="preserve"> </w:t>
      </w:r>
      <w:r>
        <w:rPr>
          <w:rFonts w:ascii="Arial" w:cs="Arial" w:eastAsia="Arial" w:hAnsi="Arial"/>
          <w:sz w:val="18"/>
          <w:szCs w:val="18"/>
          <w:color w:val="auto"/>
        </w:rPr>
        <w:t>on Form 10-K for the year ended December 31, 2020, or the 2020 10-K, filed with the Securities and Exchange Commission, or SEC, on March 30, 2021.</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prepared its condensed consolidated financial statements on a going concern basis, which assumes that the Company will realize its assets and satisfy its liabilities in the normal course of business. The Company has a history of losses from operations, expects negative cash flows from its operations to continue for the foreseeable future, and expects that its net losses will continue for at least the next several years as it develops and seeks to bring to market its existing product candidates and to potentially acquire, license and develop additional product candidates. These circumstances raise substantial doubt about the Company's ability to continue as a going concern. The accompanying condensed consolidated financial statements do not include any adjustments to reflect the possible future effects on the recoverability and reclassification of assets or the amounts and classifications of liabilities that may result from the outcome of the uncertainty of the Company's ability to continue as a going concern.</w:t>
      </w:r>
    </w:p>
    <w:p>
      <w:pPr>
        <w:spacing w:after="0" w:line="13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of March 31, 2021, the Company had an accumulated deficit of approximately $78.8 million, cash and cash equivalents of approximately $7.7 million, and working capital of approximately $3.5 million. For the three months ended March 31, 2021, the Company incurred a net loss of $7.3 million and had negative cash flow from operations of approximately $8.4 million.</w:t>
      </w:r>
    </w:p>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Company’s primary uses of capital are, and the Company expects will continue to be, staff-related expenses, the cost of clinical trials, preclinical work and regulatory activities related to its product candidates, costs associated with contract manufacturing services and third-party clinical research and development services, payments due under license agreements and its merger agreement with Microchips Biotech, Inc., or Microchips, upon the successful achievement of milestones of the Company’s product candidates, legal expenses, other regulatory expenses and general overhead costs. The Company’s future funding requirements could also include significant costs related to commercialization of its product candidates, if approved, depending on the type and nature of commercial partnerships or other arrangements the Company establishes.</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expects its expenses, and in particular its research and development expenses, to increase significantly in 2021 compared to 2020 as it continues to develop and seek to bring to market its product candidates, with a focus on its later stage candidates DARE-BV1, Ovaprene and Sildenafil Cream, 3.6%.</w:t>
      </w:r>
    </w:p>
    <w:p>
      <w:pPr>
        <w:spacing w:after="0" w:line="1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To date, the Company has not obtained any regulatory approvals for any of its product candidates, commercialized any of its product candidates or generated any revenue, and the Company cannot anticipate if or when it will generate any revenue. The Company has devoted significant resources to acquiring its portfolio of product candidates and to research and development activities for its product candidates. The Company must obtain regulatory approvals to market and sell any of its products in the future. The Company will need to generate sufficient safety and efficacy data on its product candidates for them to receive regulatory approvals and to be attractive assets for potential strategic partners to license or for pharmaceutical companies to acquire, and for the Company to generate cash and other license fees related to such product candidates.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2" w:name="page13"/>
    <w:bookmarkEnd w:id="12"/>
    <w:p>
      <w:pPr>
        <w:jc w:val="both"/>
        <w:ind w:firstLine="648"/>
        <w:spacing w:after="0" w:line="251" w:lineRule="auto"/>
        <w:rPr>
          <w:sz w:val="20"/>
          <w:szCs w:val="20"/>
          <w:color w:val="auto"/>
        </w:rPr>
      </w:pPr>
      <w:r>
        <w:rPr>
          <w:rFonts w:ascii="Arial" w:cs="Arial" w:eastAsia="Arial" w:hAnsi="Arial"/>
          <w:sz w:val="18"/>
          <w:szCs w:val="18"/>
          <w:color w:val="auto"/>
        </w:rPr>
        <w:t>Based on the Company's current operating plan estimates, the Company does not have sufficient cash to satisfy its working capital needs and other liquidity requirements over at least the next 12 months from the date of issuance of the accompanying condensed consolidated financial statements. The Company needs to raise substantial additional capital to continue to fund its operations and to successfully execute its current operating plan, including the development of its product candidates. The Company is currently evaluating a variety of capital raising options, including equity and debt financings, government or other grant funding, collaborations and strategic alliances and other similar types of arrangements to cover its operating expenses, including the development of its product candidates and any future product candidates it may license or otherwise acquire. The amount and timing of the Company's capital needs have been and will continue to depend highly on many factors, including the product development programs the Company chooses to pursue and the pace and results of its clinical development efforts. If the Company raises capital through collaborations, strategic alliances or other similar types of arrangements, it may have to relinquish, on terms that are not favorable to the Company, rights to some of its technologies or product candidates it would otherwise seek to develop or commercialize. There can be no assurances that capital will be available when needed or that, if available, it will be obtained on terms favorable to the Company and its stockholders, particularly in light of the effects that the COVID-19 pandemic has recently had on the capital markets and investor sentiment. In addition, equity or debt financings may have a dilutive effect on the holdings of the Company's existing stockholders, and debt financings may subject the Company to restrictive covenants, operational restrictions and security interests in our assets. If the Company cannot raise capital when needed, on favorable terms or at all, the Company will not be able to continue development of its product candidates, will need to reevaluate its planned operations and may need to delay, scale back or eliminate some or all of its development programs, reduce expenses, file for bankruptcy, reorganize, merge with another entity, or cease operations. If the Company becomes unable to continue as a going concern, the Company may have to liquidate its assets, and might realize significantly less than the values at which they are carried on its condensed consolidated financial statements, and stockholders may lose all or part of their investment in the Company's common stock. The condensed consolidated financial statements do not include any adjustments that might result from the outcome of this uncertainty.</w:t>
      </w:r>
    </w:p>
    <w:p>
      <w:pPr>
        <w:spacing w:after="0" w:line="292"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2020 10-K. Since the date of those consolidated financial statements, there have been no material changes to the Company’s significant accounting policies.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or GAAP, as defined by the Financial Accounting Standards Board, or FASB, for interim financial information and with the instructions to Form 10-Q and Article 8 of Regulation S-X.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of the interim periods presented.</w:t>
      </w:r>
    </w:p>
    <w:p>
      <w:pPr>
        <w:spacing w:after="0" w:line="12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Interim financial results are not necessarily indicative of results anticipated for any other interim period or for the full year. The accompanying condensed consolidated financial statements should be read in conjunction with the audited financial statements and notes thereto included in the 2020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Company determines if an arrangement is a lease at inception. Operating leases are included in other non-current assets, current portion of lease liabilities, and lease liabilities long-term on the Company's condensed consolidated balance sheets.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3" w:name="page14"/>
    <w:bookmarkEnd w:id="13"/>
    <w:p>
      <w:pPr>
        <w:jc w:val="both"/>
        <w:ind w:firstLine="648"/>
        <w:spacing w:after="0" w:line="252" w:lineRule="auto"/>
        <w:rPr>
          <w:sz w:val="20"/>
          <w:szCs w:val="20"/>
          <w:color w:val="auto"/>
        </w:rPr>
      </w:pPr>
      <w:r>
        <w:rPr>
          <w:rFonts w:ascii="Arial" w:cs="Arial" w:eastAsia="Arial" w:hAnsi="Arial"/>
          <w:sz w:val="18"/>
          <w:szCs w:val="18"/>
          <w:color w:val="auto"/>
        </w:rPr>
        <w:t>ROU lease assets represent the Company's right to use an underlying asset for the lease term and lease obligations represent the Company's obligation to make lease payments arising from the lease. Operating ROU lease assets and obligations are recognized at the commencement date based on the present value of lease payments over the lease term. If the lease does not provide an implicit rate, the Company uses its incremental borrowing rate based on the information available at the commencement date in determining the present value of lease payments. The ROU lease assets also includes any lease payments made and excludes lease incentives. The Company's lease terms may include options to extend or terminate the lease and the related payments are only included in the lease liability when it is reasonably certain that the Company will exercise that option. Lease expense for lease payments is recognized on a straight-line basis over the lease term. (See Note 6, Leased Properties.)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GAAP defines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spacing w:after="0" w:line="9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1: inputs are unadjusted quoted prices in active markets for identical assets or liabilities.</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9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that are significant to the fair value of the assets or liabilities.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191C1F"/>
        </w:rPr>
        <w:t>following tables present the classification within the fair value hierarchy of financial assets and liabilities that are remeasured on</w:t>
      </w:r>
      <w:r>
        <w:rPr>
          <w:rFonts w:ascii="Arial" w:cs="Arial" w:eastAsia="Arial" w:hAnsi="Arial"/>
          <w:sz w:val="18"/>
          <w:szCs w:val="18"/>
          <w:color w:val="auto"/>
        </w:rPr>
        <w:t xml:space="preserve"> </w:t>
      </w:r>
      <w:r>
        <w:rPr>
          <w:rFonts w:ascii="Arial" w:cs="Arial" w:eastAsia="Arial" w:hAnsi="Arial"/>
          <w:sz w:val="18"/>
          <w:szCs w:val="18"/>
          <w:color w:val="191C1F"/>
        </w:rPr>
        <w:t>a recurring basis as of March 31, 2021 and December 31, 2020. There were no financial assets or liabilities that were remeasured using a quoted price in active markets for identical assets (Level 2) as of March 31, 2021 or December 31, 2020.</w:t>
      </w:r>
    </w:p>
    <w:p>
      <w:pPr>
        <w:spacing w:after="0" w:line="324"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3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Fair Value Measurements</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1"/>
                <w:szCs w:val="21"/>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21"/>
                <w:szCs w:val="21"/>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1"/>
                <w:szCs w:val="21"/>
                <w:color w:val="auto"/>
              </w:rPr>
            </w:pPr>
          </w:p>
        </w:tc>
        <w:tc>
          <w:tcPr>
            <w:tcW w:w="1000" w:type="dxa"/>
            <w:vAlign w:val="bottom"/>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2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440" w:type="dxa"/>
            <w:vAlign w:val="bottom"/>
            <w:shd w:val="clear" w:color="auto" w:fill="CCEEFF"/>
          </w:tcPr>
          <w:p>
            <w:pPr>
              <w:ind w:left="220"/>
              <w:spacing w:after="0" w:line="243" w:lineRule="exact"/>
              <w:rPr>
                <w:sz w:val="20"/>
                <w:szCs w:val="20"/>
                <w:color w:val="auto"/>
              </w:rPr>
            </w:pPr>
            <w:r>
              <w:rPr>
                <w:rFonts w:ascii="Arial" w:cs="Arial" w:eastAsia="Arial" w:hAnsi="Arial"/>
                <w:sz w:val="18"/>
                <w:szCs w:val="18"/>
                <w:color w:val="auto"/>
              </w:rPr>
              <w:t xml:space="preserve">Cash equivalents </w:t>
            </w:r>
            <w:r>
              <w:rPr>
                <w:rFonts w:ascii="Arial" w:cs="Arial" w:eastAsia="Arial" w:hAnsi="Arial"/>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6,206,377</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6,206,377</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440" w:type="dxa"/>
            <w:vAlign w:val="bottom"/>
            <w:shd w:val="clear" w:color="auto" w:fill="CCEEFF"/>
          </w:tcPr>
          <w:p>
            <w:pPr>
              <w:ind w:left="220"/>
              <w:spacing w:after="0" w:line="178" w:lineRule="exact"/>
              <w:rPr>
                <w:sz w:val="20"/>
                <w:szCs w:val="20"/>
                <w:color w:val="auto"/>
              </w:rPr>
            </w:pPr>
            <w:r>
              <w:rPr>
                <w:rFonts w:ascii="Arial" w:cs="Arial" w:eastAsia="Arial" w:hAnsi="Arial"/>
                <w:sz w:val="18"/>
                <w:szCs w:val="18"/>
                <w:color w:val="auto"/>
              </w:rPr>
              <w:t>Current portion of contingent</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1,000,000</w:t>
            </w:r>
          </w:p>
        </w:tc>
        <w:tc>
          <w:tcPr>
            <w:tcW w:w="2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20"/>
        </w:trPr>
        <w:tc>
          <w:tcPr>
            <w:tcW w:w="344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 xml:space="preserve">consideration </w:t>
            </w:r>
            <w:r>
              <w:rPr>
                <w:rFonts w:ascii="Arial" w:cs="Arial" w:eastAsia="Arial" w:hAnsi="Arial"/>
                <w:sz w:val="23"/>
                <w:szCs w:val="23"/>
                <w:color w:val="auto"/>
                <w:vertAlign w:val="superscript"/>
              </w:rPr>
              <w:t>(2)</w:t>
            </w:r>
          </w:p>
        </w:tc>
        <w:tc>
          <w:tcPr>
            <w:tcW w:w="20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20"/>
              <w:spacing w:after="0" w:line="243" w:lineRule="exact"/>
              <w:rPr>
                <w:sz w:val="20"/>
                <w:szCs w:val="20"/>
                <w:color w:val="auto"/>
              </w:rPr>
            </w:pPr>
            <w:r>
              <w:rPr>
                <w:rFonts w:ascii="Arial" w:cs="Arial" w:eastAsia="Arial" w:hAnsi="Arial"/>
                <w:sz w:val="18"/>
                <w:szCs w:val="18"/>
                <w:color w:val="auto"/>
              </w:rPr>
              <w:t xml:space="preserve">Cash equivalents </w:t>
            </w:r>
            <w:r>
              <w:rPr>
                <w:rFonts w:ascii="Arial" w:cs="Arial" w:eastAsia="Arial" w:hAnsi="Arial"/>
                <w:sz w:val="23"/>
                <w:szCs w:val="23"/>
                <w:color w:val="auto"/>
                <w:vertAlign w:val="superscript"/>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2,823,099</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2,823,099</w:t>
            </w: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40" w:type="dxa"/>
            <w:vAlign w:val="bottom"/>
          </w:tcPr>
          <w:p>
            <w:pPr>
              <w:ind w:left="220"/>
              <w:spacing w:after="0" w:line="178" w:lineRule="exact"/>
              <w:rPr>
                <w:sz w:val="20"/>
                <w:szCs w:val="20"/>
                <w:color w:val="auto"/>
              </w:rPr>
            </w:pPr>
            <w:r>
              <w:rPr>
                <w:rFonts w:ascii="Arial" w:cs="Arial" w:eastAsia="Arial" w:hAnsi="Arial"/>
                <w:sz w:val="18"/>
                <w:szCs w:val="18"/>
                <w:color w:val="auto"/>
              </w:rPr>
              <w:t>Current portion of contingent</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ind w:right="14"/>
              <w:spacing w:after="0"/>
              <w:rPr>
                <w:sz w:val="20"/>
                <w:szCs w:val="20"/>
                <w:color w:val="auto"/>
              </w:rPr>
            </w:pPr>
            <w:r>
              <w:rPr>
                <w:rFonts w:ascii="Arial" w:cs="Arial" w:eastAsia="Arial" w:hAnsi="Arial"/>
                <w:sz w:val="18"/>
                <w:szCs w:val="18"/>
                <w:color w:val="auto"/>
              </w:rPr>
              <w:t>1,000,000</w:t>
            </w:r>
          </w:p>
        </w:tc>
        <w:tc>
          <w:tcPr>
            <w:tcW w:w="22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ind w:right="14"/>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0"/>
        </w:trPr>
        <w:tc>
          <w:tcPr>
            <w:tcW w:w="3440" w:type="dxa"/>
            <w:vAlign w:val="bottom"/>
          </w:tcPr>
          <w:p>
            <w:pPr>
              <w:ind w:left="220"/>
              <w:spacing w:after="0" w:line="200" w:lineRule="exact"/>
              <w:rPr>
                <w:sz w:val="20"/>
                <w:szCs w:val="20"/>
                <w:color w:val="auto"/>
              </w:rPr>
            </w:pPr>
            <w:r>
              <w:rPr>
                <w:rFonts w:ascii="Arial" w:cs="Arial" w:eastAsia="Arial" w:hAnsi="Arial"/>
                <w:sz w:val="18"/>
                <w:szCs w:val="18"/>
                <w:color w:val="auto"/>
              </w:rPr>
              <w:t xml:space="preserve">consideration </w:t>
            </w:r>
            <w:r>
              <w:rPr>
                <w:rFonts w:ascii="Arial" w:cs="Arial" w:eastAsia="Arial" w:hAnsi="Arial"/>
                <w:sz w:val="23"/>
                <w:szCs w:val="23"/>
                <w:color w:val="auto"/>
                <w:vertAlign w:val="superscript"/>
              </w:rPr>
              <w:t>(2)</w:t>
            </w:r>
          </w:p>
        </w:tc>
        <w:tc>
          <w:tcPr>
            <w:tcW w:w="20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660" w:hanging="166"/>
        <w:spacing w:after="0"/>
        <w:tabs>
          <w:tab w:leader="none" w:pos="66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Represents the cash held in money market funds.</w:t>
      </w:r>
    </w:p>
    <w:p>
      <w:pPr>
        <w:spacing w:after="0" w:line="115" w:lineRule="exact"/>
        <w:rPr>
          <w:rFonts w:ascii="Arial" w:cs="Arial" w:eastAsia="Arial" w:hAnsi="Arial"/>
          <w:sz w:val="20"/>
          <w:szCs w:val="20"/>
          <w:color w:val="auto"/>
          <w:vertAlign w:val="superscript"/>
        </w:rPr>
      </w:pPr>
    </w:p>
    <w:p>
      <w:pPr>
        <w:ind w:left="660" w:hanging="166"/>
        <w:spacing w:after="0" w:line="198" w:lineRule="auto"/>
        <w:tabs>
          <w:tab w:leader="none" w:pos="691" w:val="left"/>
        </w:tabs>
        <w:numPr>
          <w:ilvl w:val="0"/>
          <w:numId w:val="12"/>
        </w:numPr>
        <w:rPr>
          <w:rFonts w:ascii="Arial" w:cs="Arial" w:eastAsia="Arial" w:hAnsi="Arial"/>
          <w:sz w:val="23"/>
          <w:szCs w:val="23"/>
          <w:color w:val="191C1F"/>
          <w:vertAlign w:val="superscript"/>
        </w:rPr>
      </w:pPr>
      <w:r>
        <w:rPr>
          <w:rFonts w:ascii="Arial" w:cs="Arial" w:eastAsia="Arial" w:hAnsi="Arial"/>
          <w:sz w:val="16"/>
          <w:szCs w:val="16"/>
          <w:color w:val="191C1F"/>
        </w:rPr>
        <w:t>Represents t</w:t>
      </w:r>
      <w:r>
        <w:rPr>
          <w:rFonts w:ascii="Arial" w:cs="Arial" w:eastAsia="Arial" w:hAnsi="Arial"/>
          <w:sz w:val="16"/>
          <w:szCs w:val="16"/>
          <w:color w:val="000000"/>
        </w:rPr>
        <w:t>he estimated fair value of the contingent consideration potentially payable by the Company related to its acquisition of Microchips, as</w:t>
      </w:r>
      <w:r>
        <w:rPr>
          <w:rFonts w:ascii="Arial" w:cs="Arial" w:eastAsia="Arial" w:hAnsi="Arial"/>
          <w:sz w:val="16"/>
          <w:szCs w:val="16"/>
          <w:color w:val="191C1F"/>
        </w:rPr>
        <w:t xml:space="preserve"> </w:t>
      </w:r>
      <w:r>
        <w:rPr>
          <w:rFonts w:ascii="Arial" w:cs="Arial" w:eastAsia="Arial" w:hAnsi="Arial"/>
          <w:sz w:val="16"/>
          <w:szCs w:val="16"/>
          <w:color w:val="000000"/>
        </w:rPr>
        <w:t>described in Note 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The Company recognizes revenue is accordance with Accounting Standards Codification, or ASC, Topic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which applies to all contracts with customers, except for contracts that are within the scope of other standards,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leases, insurance, collaboration arrangements and financial instruments.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4" w:name="page15"/>
    <w:bookmarkEnd w:id="14"/>
    <w:p>
      <w:pPr>
        <w:jc w:val="both"/>
        <w:ind w:firstLine="648"/>
        <w:spacing w:after="0" w:line="252" w:lineRule="auto"/>
        <w:rPr>
          <w:sz w:val="20"/>
          <w:szCs w:val="20"/>
          <w:color w:val="auto"/>
        </w:rPr>
      </w:pPr>
      <w:r>
        <w:rPr>
          <w:rFonts w:ascii="Arial" w:cs="Arial" w:eastAsia="Arial" w:hAnsi="Arial"/>
          <w:sz w:val="18"/>
          <w:szCs w:val="18"/>
          <w:color w:val="auto"/>
        </w:rPr>
        <w:t>The Company recognizes revenue when it transfers promised goods or services to customers in an amount that reflects the consideration to which it expects to be entitled in exchange for those goods or services. To determine revenue recognition for contracts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 At contract inception, the Company assesses the goods or services agreed upon within each contract and assess whether each good or service is distinct and determine those that are performance obligations. The Company then recognizes as revenue the amount of the transaction price that is allocated to the respective performance obligation when (or as) the performance obligation is satisfied.</w:t>
      </w:r>
    </w:p>
    <w:p>
      <w:pPr>
        <w:spacing w:after="0" w:line="12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 contract with multiple performance obligations, 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price(s) may include estimates regarding forecasted revenues or costs, development timelines, discount rates, and probabilities of technical and regulatory success. The Company evaluates each performance obligation to determine if it can be satisfied at a point in time or over time. Any change made to estimated progress towards completion of a performance obligation and, therefore, revenue recognized will be recorded as a change in estimate. In addition, variable consideration must be evaluated to determine if it is constrained and, therefore, excluded from the transaction price.</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License Fees. </w:t>
      </w:r>
      <w:r>
        <w:rPr>
          <w:rFonts w:ascii="Arial" w:cs="Arial" w:eastAsia="Arial" w:hAnsi="Arial"/>
          <w:sz w:val="18"/>
          <w:szCs w:val="18"/>
          <w:color w:val="auto"/>
        </w:rPr>
        <w:t>If the license to the Company’s intellectual property is determined to be distinct from the other performance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identified in a contract,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 To date, the Company has not recognized any license fee revenue resulting from any of its collaborative arrangements.</w:t>
      </w:r>
    </w:p>
    <w:p>
      <w:pPr>
        <w:spacing w:after="0" w:line="117"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i w:val="1"/>
          <w:iCs w:val="1"/>
          <w:color w:val="auto"/>
        </w:rPr>
        <w:t xml:space="preserve">Royalties. </w:t>
      </w:r>
      <w:r>
        <w:rPr>
          <w:rFonts w:ascii="Arial" w:cs="Arial" w:eastAsia="Arial" w:hAnsi="Arial"/>
          <w:sz w:val="17"/>
          <w:szCs w:val="17"/>
          <w:color w:val="auto"/>
        </w:rPr>
        <w:t>For arrangements that include sales-based royalties, including milestone payments based on the level of sales, and for</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collaborative arrangements.</w:t>
      </w:r>
    </w:p>
    <w:p>
      <w:pPr>
        <w:spacing w:after="0" w:line="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Bayer License. </w:t>
      </w:r>
      <w:r>
        <w:rPr>
          <w:rFonts w:ascii="Arial" w:cs="Arial" w:eastAsia="Arial" w:hAnsi="Arial"/>
          <w:sz w:val="18"/>
          <w:szCs w:val="18"/>
          <w:color w:val="auto"/>
        </w:rPr>
        <w:t>In January 2020, the Company entered into a license agreement with Bayer HealthCare LLC, or Bayer, regarding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development and commercialization of Ovaprene in the U.S. Upon execution of the agreement, the Company received a $1.0 million upfront non-refundable license fee payment from Bayer. Bayer, in its sole discretion, has the right to make the license effective by paying the Company an additional $20.0 million. The Company concluded that there was one significant performance obligation related to the $1.0 million upfront payment: a distinct license to commercialize Ovaprene effective upon the receipt of the $20.0 million fee. The $1.0 million upfront payment will be recorded as license revenue at the earlier of (1) the point in time the Company receives the $20.0 million fee, the license is transferred to Bayer and Bayer is able to use and benefit from the license and (2) the termination of the agreement. As of March 31, 2021, neither of the foregoing had occurred. The $1.0 million payment is recorded as long-term deferred license revenue in the Company's condensed consolidated balance sheet at March 31, 2021 and December 31, 2020.</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will also be entitled to receive (a) milestone payments totaling up to $310.0 million related to the commercial sales of Ovaprene, if all such milestones are achieved, and (b) tiered royalties starting in the low double digits based on annual net sales of Ovaprene during a calendar year, subject to customary royalty reductions and offsets, and (c) a percentage of sublicense revenue.</w:t>
      </w:r>
    </w:p>
    <w:p>
      <w:pPr>
        <w:spacing w:after="0" w:line="13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Potential future payments for variable consideration, such as commercial milestones, will be recognized when it is probable that, if recorded, a significant reversal will not take place. Potential future royalty payments will be recorded as revenue when the associated sales occur. (See Note 3, License and Collaboration Agreements.)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5" w:name="page16"/>
    <w:bookmarkEnd w:id="15"/>
    <w:p>
      <w:pPr>
        <w:ind w:right="6680" w:firstLine="8"/>
        <w:spacing w:after="0" w:line="547" w:lineRule="auto"/>
        <w:tabs>
          <w:tab w:leader="none" w:pos="4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LICENSE AND COLLABORATION AGREEMENTS Out-License Agreements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Bayer HealthCare License Agreement</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January 2020, the Company entered into a license agreement with Bayer, regarding the further development and commercialization of Ovaprene in the U.S. Under the agreement, the Company received a $1.0 million upfront non-refundable license fee payment from Bayer. If Bayer pays an additional $20.0 million to the Company after Bayer receives and reviews the results of the pivotal clinical trial of Ovaprene, which payment Bayer may elect to make in its sole discretion, the license grant to Bayer to develop and commercialize Ovaprene for human contraception in the U.S. becomes effective.</w:t>
      </w:r>
    </w:p>
    <w:p>
      <w:pPr>
        <w:spacing w:after="0" w:line="14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Milestone &amp; Royalty Payments</w:t>
      </w:r>
      <w:r>
        <w:rPr>
          <w:rFonts w:ascii="Arial" w:cs="Arial" w:eastAsia="Arial" w:hAnsi="Arial"/>
          <w:sz w:val="18"/>
          <w:szCs w:val="18"/>
          <w:color w:val="auto"/>
        </w:rPr>
        <w:t>. The Company will be entitled to receive (a) a milestone payment in the low double-digit millions upon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commercial sale of Ovaprene in the U.S. and escalating milestone payments based on annual net sales of Ovaprene during a calendar year, totaling up to $310.0 million if all such milestones are achieved, (b) tiered royalties starting in the low double digits based on annual net sales of Ovaprene during a calendar year, subject to customary royalty reductions and offsets, and (c) a percentage of sublicense revenue.</w:t>
      </w:r>
    </w:p>
    <w:p>
      <w:pPr>
        <w:spacing w:after="0" w:line="14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Efforts. </w:t>
      </w:r>
      <w:r>
        <w:rPr>
          <w:rFonts w:ascii="Arial" w:cs="Arial" w:eastAsia="Arial" w:hAnsi="Arial"/>
          <w:sz w:val="18"/>
          <w:szCs w:val="18"/>
          <w:color w:val="auto"/>
        </w:rPr>
        <w:t>The Company is responsible for the pivotal trial for Ovaprene and for its development and regulatory activities and has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supply obligations. Bayer is supporting the Company in development and regulatory activities by providing up to two full-time equivalents with expertise in clinical, regulatory, preclinical, commercial, CMC and product supply matters in an advisory capacity. After payment of the $20.0 million fee, Bayer will be responsible for the commercialization of Ovaprene for human contraception in the U.S.</w:t>
      </w:r>
    </w:p>
    <w:p>
      <w:pPr>
        <w:spacing w:after="0" w:line="15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initial term of the agreement, which is subject to automatic renewal terms, continues until the later of (a) the expiration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any valid claim covering the manufacture, use, sale or import of Ovaprene in the U.S.; or (b) 15 years from the first commercial sale of Ovaprene in the U.S. In addition to customary termination rights for both parties, Bayer may terminate the agreement at any time on 90 days' notice and the agreement will automatically terminate if the Company does not receive the $20.0 million fee if and when due.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In-License Agreements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Hammock/MilanaPharm Assignment and License Agreement</w:t>
      </w:r>
    </w:p>
    <w:p>
      <w:pPr>
        <w:spacing w:after="0" w:line="18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December 2018, the Company entered into (a) an Assignment Agreement with Hammock Pharmaceuticals, Inc., or the Assignment Agreement, and (b)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the Company acquired an exclusive, worldwide license under certain intellectual property to, among other things,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DARE-BV1, this proprietary technology is formulated with clindamycin for the treatment of bacterial vaginosis. In December 2019, the Company entered into amendments to each of the Assignment Agreement and License Amendment.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other terms of the License Amendment, as amended:</w:t>
      </w:r>
    </w:p>
    <w:p>
      <w:pPr>
        <w:spacing w:after="0" w:line="9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i w:val="1"/>
          <w:iCs w:val="1"/>
          <w:color w:val="auto"/>
        </w:rPr>
        <w:t xml:space="preserve">License Fees. </w:t>
      </w:r>
      <w:r>
        <w:rPr>
          <w:rFonts w:ascii="Arial" w:cs="Arial" w:eastAsia="Arial" w:hAnsi="Arial"/>
          <w:sz w:val="18"/>
          <w:szCs w:val="18"/>
          <w:color w:val="auto"/>
        </w:rPr>
        <w:t>A total of $235,000 in license fees were payable, and were paid to, MilanaPharm: (1) $25,000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execution of the License Amendment; (2) $100,000 in 2019; and (3) $110,000 in 2020.</w:t>
      </w:r>
    </w:p>
    <w:p>
      <w:pPr>
        <w:spacing w:after="0" w:line="5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The Company will pay to MilanaPharm (1) up to $300,000 in the aggregate upon achievement of certain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and regulatory development milestones, $50,000 of which was paid during the second quarter of 2020, and (2) up to $1.75 million in the aggregate upon achieving certain commercial sales milestones.</w:t>
      </w:r>
    </w:p>
    <w:p>
      <w:pPr>
        <w:spacing w:after="0" w:line="6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 xml:space="preserve">Foreign Sublicense Income. </w:t>
      </w:r>
      <w:r>
        <w:rPr>
          <w:rFonts w:ascii="Arial" w:cs="Arial" w:eastAsia="Arial" w:hAnsi="Arial"/>
          <w:sz w:val="18"/>
          <w:szCs w:val="18"/>
          <w:color w:val="auto"/>
        </w:rPr>
        <w:t>The Company will pay MilanaPharm a low double-digit percentage of all income received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its affiliates in connection with any sublicense granted to a third party for use outside of the United States, subject to certain exclusions.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6" w:name="page17"/>
    <w:bookmarkEnd w:id="16"/>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Royalty Payments. </w:t>
      </w:r>
      <w:r>
        <w:rPr>
          <w:rFonts w:ascii="Arial" w:cs="Arial" w:eastAsia="Arial" w:hAnsi="Arial"/>
          <w:sz w:val="18"/>
          <w:szCs w:val="18"/>
          <w:color w:val="auto"/>
        </w:rPr>
        <w:t>During the royalty term, the Company will pay MilanaPharm high single-digit to low double-digit royalties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annual worldwide net sales of licensed products and processes. The royalty term, which is determined on a country-by-country basis and licensed product-by-product basis (or process-by-process basis), begins with the first commercial sale of a licensed product or process in a country and terminates on the latest of (1) the expiration date of the last valid claim of the licensed patent rights that cover the method of use of such product or process in such country, or (2) 10 years following the first commercial sale of such product or process in such country. Royalty payments are subject to reduction in certain circumstances, including as a result of generic competition, patent prosecution expenses incurred by the Company, or payments to third parties for rights or know-how required for us to exercise the licenses granted to it under the MilanaPharm License Agreement or that are strategically important or could add value to a licensed product or process in a manner expected to materially generate or increase sales.</w:t>
      </w:r>
    </w:p>
    <w:p>
      <w:pPr>
        <w:spacing w:after="0" w:line="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Efforts. </w:t>
      </w:r>
      <w:r>
        <w:rPr>
          <w:rFonts w:ascii="Arial" w:cs="Arial" w:eastAsia="Arial" w:hAnsi="Arial"/>
          <w:sz w:val="18"/>
          <w:szCs w:val="18"/>
          <w:color w:val="auto"/>
        </w:rPr>
        <w:t>The Company must use commercially reasonable efforts and resources to (1) develop and commercialize at least one</w:t>
      </w:r>
      <w:r>
        <w:rPr>
          <w:rFonts w:ascii="Arial" w:cs="Arial" w:eastAsia="Arial" w:hAnsi="Arial"/>
          <w:sz w:val="18"/>
          <w:szCs w:val="18"/>
          <w:i w:val="1"/>
          <w:iCs w:val="1"/>
          <w:color w:val="auto"/>
        </w:rPr>
        <w:t xml:space="preserve"> </w:t>
      </w:r>
      <w:r>
        <w:rPr>
          <w:rFonts w:ascii="Arial" w:cs="Arial" w:eastAsia="Arial" w:hAnsi="Arial"/>
          <w:sz w:val="18"/>
          <w:szCs w:val="18"/>
          <w:color w:val="auto"/>
        </w:rPr>
        <w:t>licensed product or process in the United States and at least one licensed product or process in at least one of Canada, the United Kingdom, France, Germany, Italy or Spain, and (2) continue to commercialize that product or process following the first commercial sale of a licensed product or process in the applicable jurisdiction.</w:t>
      </w:r>
    </w:p>
    <w:p>
      <w:pPr>
        <w:spacing w:after="0" w:line="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Unless earlier terminated, the license term continues until (1) on a licensed product-by-product (or process-by-process basis)</w:t>
      </w:r>
      <w:r>
        <w:rPr>
          <w:rFonts w:ascii="Arial" w:cs="Arial" w:eastAsia="Arial" w:hAnsi="Arial"/>
          <w:sz w:val="18"/>
          <w:szCs w:val="18"/>
          <w:i w:val="1"/>
          <w:iCs w:val="1"/>
          <w:color w:val="auto"/>
        </w:rPr>
        <w:t xml:space="preserve"> </w:t>
      </w:r>
      <w:r>
        <w:rPr>
          <w:rFonts w:ascii="Arial" w:cs="Arial" w:eastAsia="Arial" w:hAnsi="Arial"/>
          <w:sz w:val="18"/>
          <w:szCs w:val="18"/>
          <w:color w:val="auto"/>
        </w:rPr>
        <w:t>and country-by-country basis, the date of expiration of the royalty term with respect to such licensed product in such country, and (2) the expiration of all applicable royalty terms under the MilanaPharm License Agreement with respect to all licensed products and processes in all countries. Upon expiration of the term with respect to any licensed product or process in a country (but not upon earlier termination of the MilanaPharm License Agreement), the licenses granted to the Company under the MilanaPharm License Agreement will convert automatically to an exclusive, fully paid-up, royalty-free, perpetual, non-terminable and irrevocable right and license under the licensed intellectual property.</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to customary termination rights for all parties, MilanaPharm may terminate the license granted to the Company solely with respect to a licensed product or process in a country if, after having launched such product or process in such country, (1) the Company or its affiliates or sublicensees discontinue the sale of such product or process in such country and MilanaPharm notifies the Company of such termination within 60 days of having first been notified by the Company of such discontinuation, or (2) the Company or its affiliates or sublicensees (A) discontinue all commercially reasonable marketing efforts to sell, and discontinue all sales of, such product or process in such country for nine months or more, (B) fail to resume such commercially reasonable marketing efforts within 120 days of having been notified of such failure by MilanaPharm, (C) fail to reasonably demonstrate a strategic justification for the discontinuation and failure to resume to MilanaPharm, and (D) MilanaPharm gives 90 days’ notice to the Company.</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other terms of the Assignment Agreement, as amended:</w:t>
      </w:r>
    </w:p>
    <w:p>
      <w:pPr>
        <w:spacing w:after="0" w:line="9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Assignment; Technology Transfer</w:t>
      </w:r>
      <w:r>
        <w:rPr>
          <w:rFonts w:ascii="Arial" w:cs="Arial" w:eastAsia="Arial" w:hAnsi="Arial"/>
          <w:sz w:val="18"/>
          <w:szCs w:val="18"/>
          <w:color w:val="auto"/>
        </w:rPr>
        <w:t>. Hammock assigned and transferred to the Company all of its right, title and interest in and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MilanaPharm License Agreement and agreed to cooperate to transfer to the Company all of the data, materials and the licensed technology in its possession pursuant to a technology transfer plan to be agreed upon by the parties, with a goal for the Company to independently practice the licensed intellectual property as soon as commercially practical in order to develop and commercialize the licensed products and processes.</w:t>
      </w:r>
    </w:p>
    <w:p>
      <w:pPr>
        <w:spacing w:after="0" w:line="7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Fees</w:t>
      </w:r>
      <w:r>
        <w:rPr>
          <w:rFonts w:ascii="Arial" w:cs="Arial" w:eastAsia="Arial" w:hAnsi="Arial"/>
          <w:sz w:val="18"/>
          <w:szCs w:val="18"/>
          <w:color w:val="auto"/>
        </w:rPr>
        <w:t>. A total of $512,500 in fees were payable, and were paid, to Hammock: (1) $250,000 in connection with the execution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Assignment Agreement; (2) $125,000 in 2019; and (3) $137,500 in 2020.</w:t>
      </w:r>
    </w:p>
    <w:p>
      <w:pPr>
        <w:spacing w:after="0" w:line="5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Milestone Payments</w:t>
      </w:r>
      <w:r>
        <w:rPr>
          <w:rFonts w:ascii="Arial" w:cs="Arial" w:eastAsia="Arial" w:hAnsi="Arial"/>
          <w:sz w:val="18"/>
          <w:szCs w:val="18"/>
          <w:color w:val="auto"/>
        </w:rPr>
        <w:t>. The Company will pay Hammock up to $1.1 million in the aggregate upon achievement of certain clinical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development milestones.</w:t>
      </w:r>
    </w:p>
    <w:p>
      <w:pPr>
        <w:spacing w:after="0" w:line="5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Assignment Agreement will terminate upon the later of (1) completion of the parties' technology transfer plan, and (2)</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to Hammock of the last of the milestone payments.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ADVA-Tec License 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March 2017, the Company entered into a license agreement with ADVA-Tec, Inc., under which the Company was granted the exclusive right to develop and commercialize Ovaprene for human contraceptive use worldwide. The Company must use commercially reasonable efforts to develop and commercialize Ovaprene and must meet certain minimum spending amounts per year, and $5.0 million in the aggregate over the first three years, to cover such activities until a final PMA is filed, or until the first commercial sale of Ovaprene, whichever occurs first.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7" w:name="page18"/>
    <w:bookmarkEnd w:id="17"/>
    <w:p>
      <w:pPr>
        <w:jc w:val="both"/>
        <w:ind w:firstLine="648"/>
        <w:spacing w:after="0" w:line="266"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The Company will pay to ADVA-Tec: (1) up to $14.6 million in the aggregate based on the achievement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development and regulatory milestones; and (2) up to $20.0 million in the aggregate based on the achievement of certain worldwide net sales milestones.</w:t>
      </w:r>
    </w:p>
    <w:p>
      <w:pPr>
        <w:spacing w:after="0" w:line="14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Royalty Payments</w:t>
      </w:r>
      <w:r>
        <w:rPr>
          <w:rFonts w:ascii="Arial" w:cs="Arial" w:eastAsia="Arial" w:hAnsi="Arial"/>
          <w:sz w:val="18"/>
          <w:szCs w:val="18"/>
          <w:color w:val="auto"/>
        </w:rPr>
        <w:t>. After the commercial launch of Ovaprene, the Company will pay to ADVA-Tec royalties based on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net sales of Ovaprene in specified regions, at a royalty rate that will vary between 1% and 10% and will increase based on various net sales thresholds.</w:t>
      </w:r>
    </w:p>
    <w:p>
      <w:pPr>
        <w:spacing w:after="0" w:line="13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Unless earlier terminated, the license continues on a country-by-country basis until the later of the life of the licensed patents</w:t>
      </w:r>
      <w:r>
        <w:rPr>
          <w:rFonts w:ascii="Arial" w:cs="Arial" w:eastAsia="Arial" w:hAnsi="Arial"/>
          <w:sz w:val="18"/>
          <w:szCs w:val="18"/>
          <w:i w:val="1"/>
          <w:iCs w:val="1"/>
          <w:color w:val="auto"/>
        </w:rPr>
        <w:t xml:space="preserve"> </w:t>
      </w:r>
      <w:r>
        <w:rPr>
          <w:rFonts w:ascii="Arial" w:cs="Arial" w:eastAsia="Arial" w:hAnsi="Arial"/>
          <w:sz w:val="18"/>
          <w:szCs w:val="18"/>
          <w:color w:val="auto"/>
        </w:rPr>
        <w:t>or final commercial sale of Ovaprene. In addition to customary termination rights for both parties: (A) the Company may terminate the agreement with or without cause in whole or on a country-by-country basis upon 60 days prior written notice; and (B) ADVA-Tec may terminate the agreement if the Company develops or commercializes any non-hormonal ring-based vaginal contraceptive device competitive to Ovaprene or if the Company fails to: (1) in certain limited circumstances, commercialize Ovaprene in certain designated countries within three years of the first commercial sale of Ovaprene; (2) satisfy the annual spending obligation described above, (3) use commercially reasonable efforts to complete all necessary pre-clinical and clinical studies required to support and submit a PMA, (4) conduct clinical trials as set forth in the development plan to which the Company and ADVA-Tec agree, and as may be modified by a joint research committee, unless such failure is caused by events outside of the Company’s reasonable control, or (5) enroll a patient in the first non-significant risk medical device study or clinical trial as allowed by an institutional review board within six months of the production and release of Ovaprene, unless such failure is caused by events outside of the Company’s reasonable control.</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SST License and Collaboration Agreement</w:t>
      </w:r>
    </w:p>
    <w:p>
      <w:pPr>
        <w:spacing w:after="0" w:line="2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February 2018, the Company entered into a license and collaboration agreement with Strategic Science &amp; Technologies-D, LLC and Strategic Science &amp; Technologies, LLC, referred to collectively as SST, under which the Company received an exclusive, royalty-bearing, sublicensable license to develop and commercialize, in all countries and geographic territories of the world, for all indications for women related to female sexual dysfunction and/or female reproductive health, including the treatment of female sexual arousal disorder, or the Field of Use, SST’s topical formulation of Sildenafil Cream, 3.6% as it existed as of the effective date of the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other terms of this license and collaboration agreement:</w:t>
      </w:r>
    </w:p>
    <w:p>
      <w:pPr>
        <w:spacing w:after="0" w:line="9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Invention Ownership. </w:t>
      </w:r>
      <w:r>
        <w:rPr>
          <w:rFonts w:ascii="Arial" w:cs="Arial" w:eastAsia="Arial" w:hAnsi="Arial"/>
          <w:sz w:val="18"/>
          <w:szCs w:val="18"/>
          <w:color w:val="auto"/>
        </w:rPr>
        <w:t>The Company retains rights to inventions made by its employees, SST retains rights to inventions made by its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each party shall own a 50% undivided interest in all joint inventions.</w:t>
      </w:r>
    </w:p>
    <w:p>
      <w:pPr>
        <w:spacing w:after="0" w:line="5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Joint Development Committee. </w:t>
      </w:r>
      <w:r>
        <w:rPr>
          <w:rFonts w:ascii="Arial" w:cs="Arial" w:eastAsia="Arial" w:hAnsi="Arial"/>
          <w:sz w:val="18"/>
          <w:szCs w:val="18"/>
          <w:color w:val="auto"/>
        </w:rPr>
        <w:t>The parties will collaborate through a joint development committee that will determine the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for, and generally oversee, the development efforts of both parties under the agreement.</w:t>
      </w:r>
    </w:p>
    <w:p>
      <w:pPr>
        <w:spacing w:after="0" w:line="5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Development. </w:t>
      </w:r>
      <w:r>
        <w:rPr>
          <w:rFonts w:ascii="Arial" w:cs="Arial" w:eastAsia="Arial" w:hAnsi="Arial"/>
          <w:sz w:val="18"/>
          <w:szCs w:val="18"/>
          <w:color w:val="auto"/>
        </w:rPr>
        <w:t>The Company must use commercially reasonable efforts to develop the Licensed Products in the Field of Use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a development plan in the agreement, and to commercialize the Licensed Products in the Field of Use. The Company is responsible for all reasonable internal and external costs and expenses incurred by SST in its performance of the development activities it must perform under the agreement.</w:t>
      </w:r>
    </w:p>
    <w:p>
      <w:pPr>
        <w:spacing w:after="0" w:line="7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Royalty Payments. </w:t>
      </w:r>
      <w:r>
        <w:rPr>
          <w:rFonts w:ascii="Arial" w:cs="Arial" w:eastAsia="Arial" w:hAnsi="Arial"/>
          <w:sz w:val="18"/>
          <w:szCs w:val="18"/>
          <w:color w:val="auto"/>
        </w:rPr>
        <w:t>SST will be eligible to receive tiered royalties based on percentages of annual net sales of Licensed Products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single digits to the mid double digits, subject to customary royalty reductions and offsets, and a percentage of sublicense revenue.</w:t>
      </w:r>
    </w:p>
    <w:p>
      <w:pPr>
        <w:spacing w:after="0" w:line="5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SST will be eligible to receive payments (1) ranging from $0.5 million to $ 18.0 million in the aggregate on</w:t>
      </w:r>
      <w:r>
        <w:rPr>
          <w:rFonts w:ascii="Arial" w:cs="Arial" w:eastAsia="Arial" w:hAnsi="Arial"/>
          <w:sz w:val="18"/>
          <w:szCs w:val="18"/>
          <w:i w:val="1"/>
          <w:iCs w:val="1"/>
          <w:color w:val="auto"/>
        </w:rPr>
        <w:t xml:space="preserve"> </w:t>
      </w:r>
      <w:r>
        <w:rPr>
          <w:rFonts w:ascii="Arial" w:cs="Arial" w:eastAsia="Arial" w:hAnsi="Arial"/>
          <w:sz w:val="18"/>
          <w:szCs w:val="18"/>
          <w:color w:val="auto"/>
        </w:rPr>
        <w:t>achieving certain clinical and regulatory milestones in the U.S. and worldwide, and (2) between $10.0 million to $100.0 million in the aggregate upon achieving certain commercial sales milestones. If the Company enters into strategic development or distribution partnerships related to the Licensed Products, additional milestone payments would be due to SST.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8" w:name="page19"/>
    <w:bookmarkEnd w:id="18"/>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Company’s license continues on a country-by-country basis until the later of 10 years from the date of the first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sale of such Licensed Product or the expiration of the last valid claim of patent rights covering the Licensed Product in the Field of Use. Upon expiration (but not termination) of the agreement in a particular country, the Company will have a fully paid-up license under the licensed intellectual property to develop and commercialize the applicable Licensed Products in the applicable country on a non-exclusive basis.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In addition to customary termination rights for both parties: (1) prior to receipt of approval by a regulatory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for commercialization of a Licensed Product in the corresponding jurisdiction, including NDA approval, the Company may terminate the agreement without cause upon 90 days prior written notice; (2) following receipt of approval by a regulatory authority necessary for commercialization of a Licensed Product in the corresponding jurisdiction, including NDA approval, the Company may terminate the agreement without cause upon 180 days prior written notice; and (3) SST may terminate the agreement with respect to the applicable Licensed Product(s) in the applicable country(ies) upon 30 days’ notice if the Company fails to use commercially reasonable efforts to perform development activities in substantial accordance with the development plan and do not cure such failure within 60 days of receipt of SST's notice thereof.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Catalent JNP License Agreement</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April 2018, the Company entered into an exclusive license agreement with Catalent JNP, Inc. (formerly known as Juniper Pharmaceuticals, Inc., and which the Company refers to as Catalent), under which Catalent granted the Company: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 have imported products and processes. The Company is entitled to sublicense the rights granted to it under this agreement.</w:t>
      </w:r>
    </w:p>
    <w:p>
      <w:pPr>
        <w:spacing w:after="0" w:line="8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Upfront Fee. </w:t>
      </w:r>
      <w:r>
        <w:rPr>
          <w:rFonts w:ascii="Arial" w:cs="Arial" w:eastAsia="Arial" w:hAnsi="Arial"/>
          <w:sz w:val="18"/>
          <w:szCs w:val="18"/>
          <w:color w:val="auto"/>
        </w:rPr>
        <w:t>The Company paid a $250,000 non-creditable upfront license fee to Catalent in connection with the execution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5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 xml:space="preserve">Annual Maintenance Fee. </w:t>
      </w:r>
      <w:r>
        <w:rPr>
          <w:rFonts w:ascii="Arial" w:cs="Arial" w:eastAsia="Arial" w:hAnsi="Arial"/>
          <w:sz w:val="18"/>
          <w:szCs w:val="18"/>
          <w:color w:val="auto"/>
        </w:rPr>
        <w:t>The Company will pay an annual license maintenance fee to Catalent on each anniversary of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agreement, the amount of which will be $50,000 for the first two years and $100,000 thereafter, and which will be creditable against royalties and other payments due to Catalent in the same calendar year but may not be carried forward to any other year.</w:t>
      </w:r>
    </w:p>
    <w:p>
      <w:pPr>
        <w:spacing w:after="0" w:line="6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The Company must make potential future development and sales milestone payments of (1) up to $13.5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aggregate upon achieving certain clinical and regulatory milestones, and (2) up to $30.3 million in the aggregate upon achieving certain commercial sales milestones for each product or process covered by the licenses granted under the agreement.</w:t>
      </w:r>
    </w:p>
    <w:p>
      <w:pPr>
        <w:spacing w:after="0" w:line="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Royalty Payments</w:t>
      </w:r>
      <w:r>
        <w:rPr>
          <w:rFonts w:ascii="Arial" w:cs="Arial" w:eastAsia="Arial" w:hAnsi="Arial"/>
          <w:sz w:val="18"/>
          <w:szCs w:val="18"/>
          <w:color w:val="auto"/>
        </w:rPr>
        <w:t>. During the royalty term, the Company will pay Catalent mid-single-digit to low double-digit royalties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worldwide net sales of products and processes covered by the licenses granted under the agreement. In lieu of such royalty payments, the Company will pay Catalent a low double-digit percentage of all sublicense income the Company receives for the sublicense of rights under the agreement to a third party.</w:t>
      </w:r>
    </w:p>
    <w:p>
      <w:pPr>
        <w:spacing w:after="0" w:line="13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Efforts. </w:t>
      </w:r>
      <w:r>
        <w:rPr>
          <w:rFonts w:ascii="Arial" w:cs="Arial" w:eastAsia="Arial" w:hAnsi="Arial"/>
          <w:sz w:val="18"/>
          <w:szCs w:val="18"/>
          <w:color w:val="auto"/>
        </w:rPr>
        <w:t>The Company must use commercially reasonable efforts to develop and make at least one product or process available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public, which efforts include achieving specific diligence requirements by specific dates specified in the agreement.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9" w:name="page20"/>
    <w:bookmarkEnd w:id="19"/>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Unless earlier terminated, the term of the agreement will continue on a country-by-country basis until the later of (1) the</w:t>
      </w:r>
      <w:r>
        <w:rPr>
          <w:rFonts w:ascii="Arial" w:cs="Arial" w:eastAsia="Arial" w:hAnsi="Arial"/>
          <w:sz w:val="18"/>
          <w:szCs w:val="18"/>
          <w:i w:val="1"/>
          <w:iCs w:val="1"/>
          <w:color w:val="auto"/>
        </w:rPr>
        <w:t xml:space="preserve"> </w:t>
      </w:r>
      <w:r>
        <w:rPr>
          <w:rFonts w:ascii="Arial" w:cs="Arial" w:eastAsia="Arial" w:hAnsi="Arial"/>
          <w:sz w:val="18"/>
          <w:szCs w:val="18"/>
          <w:color w:val="auto"/>
        </w:rPr>
        <w:t>expiration date of the last valid claim within such country, or (2) 10 years from the date of first commercial sale of a product or process in such country. Upon expiration (but not early termination) of the agreement, the licenses granted thereunder will convert automatically to fully-paid irrevocable licenses. Catalent may terminate the agreement (1) upon 30 days’ notice for the Company’s uncured breach of any payment obligation under the agreement, (2) if the Company fails to maintain required insurance, (3) immediately upon the Company’s insolvency or the making of an assignment for the benefit of the Company’s creditors or if a bankruptcy petition is filed for or against the Company, which petition is not dismissed within 90 days, or (4) upon 60 days’ notice for any uncured material breach by the Company of any of the Company’s other obligations under the agreement. The Company may terminate the agreement on a country-by-country basis for any reason by giving 180 days’ notice (or 90 days’ notice if such termination occurs prior to receipt of marketing approval in the United States). If Catalent terminates the agreement for the reason described in clause (4) above or if the Company terminates the agreement, Catalent will have full access including the right to use and reference all product data generated during the term of the agreement that is owned by the Company.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Adare Development and Option Agreement</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March 2018, the Company entered into an exclusive development and option agreement with Adare Pharmaceuticals (formerly known as Orbis Biosciences, and which the Company refers to as Adare), for the development of long-acting injectable etonogestrel contraceptive with 6- and 12-month durations (ORB-204 and ORB-214, respectively). Under this agreement, the Company paid Adare $300,000 to conduct the first stage of development work, Stage 1, as follows: $150,000 upon signing the agreement; $75,000 at the 50% completion point, not later than 6 months following the date the agreement was signed (which the Company paid in 2018); and $75,000 upon delivery by Adare of the 6-month batch, not later than 11 months following the date the agreement was signed (which the Company paid in 2019).</w:t>
      </w:r>
    </w:p>
    <w:p>
      <w:pPr>
        <w:spacing w:after="0" w:line="9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Upon Adare successfully completing the first stage of development work and achieving the predetermined target milestones for that stage, the Company will have 90 days to instruct Adare whether to commence the second stage of development work. Should the Company execute its option to proceed with the second stage, it will have to provide additional funding to Adare for such activities.</w:t>
      </w:r>
    </w:p>
    <w:p>
      <w:pPr>
        <w:spacing w:after="0" w:line="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Pre-clinical studies for the 6- and 12-month formulations have been completed, including establishing pharmacokinetics and pharmacodynamics profiles. The collaboration with Adare will continue to advance the program through formulation optimization with the goal of achieving sustained release over the target time period.</w:t>
      </w:r>
    </w:p>
    <w:p>
      <w:pPr>
        <w:spacing w:after="0" w:line="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agreement provides the Company with an option to enter into a license agreement for ORB-204 and ORB-214 should development efforts be successful.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Acquired Products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Microchips Acquisition</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November 2019, the Company acquired Microchips. The Company acquired Microchips to secure the rights to develop an implantable, user-controlled, long-acting reversible contraception method, now known as DARE-LARC1.</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issued an aggregate of 2,999,990 shares of its common stock to the holders of shares of Microchips' capital stock outstanding immediately prior to the effective time of the merger. The transaction was valued at $2.4 million, based on the fair value of the 2,999,990 shares issued at $0.79 per share, which was the closing price per share of the Company's common stock on the date of closing. The shares were issued in exchange for Microchips’ cash and cash equivalents of $6.1 million, less net liabilities of $3.5 million and transaction costs of $202,000, which was allocated based on the relative fair value of the assets acquired and liabilities assumed.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0" w:name="page21"/>
    <w:bookmarkEnd w:id="20"/>
    <w:p>
      <w:pPr>
        <w:jc w:val="both"/>
        <w:ind w:firstLine="648"/>
        <w:spacing w:after="0" w:line="251" w:lineRule="auto"/>
        <w:rPr>
          <w:sz w:val="20"/>
          <w:szCs w:val="20"/>
          <w:color w:val="auto"/>
        </w:rPr>
      </w:pPr>
      <w:r>
        <w:rPr>
          <w:rFonts w:ascii="Arial" w:cs="Arial" w:eastAsia="Arial" w:hAnsi="Arial"/>
          <w:sz w:val="18"/>
          <w:szCs w:val="18"/>
          <w:color w:val="auto"/>
        </w:rPr>
        <w:t>The Company also agreed to pay the following contingent consideration to the former Microchips stockholders: (a) up to $46.5 million contingent upon the achievement of specified funding, product development and regulatory milestones; (b) up to $55.0 million contingent upon the achievement of specified amounts of aggregate net sales of products incorporating the intellectual property acquired by the Company in the merger; (c) tiered royalty payments ranging from low single-digit to low double-digit percentages of annual net sales of such products, subject to customary provisions permitting royalty reductions and offset; and (d) a percentage of sublicense revenue related to such products. The Company agreed to use commercially reasonable efforts to achieve specified development and regulatory objectives relating to DARE-LARC1. The Company recorded $1.0 million in contingent consideration associated with milestone payments it expects to become payable in the first half of 2021, and if and when they become due and payable, the Company may pay the milestones in cash, shares of the Company's common stock or with some combination of both.</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Pear Tree Acquisition</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May 2018, the Company completed its acquisition of Pear Tree Pharmaceuticals, Inc., or Pear Tree. The Company acquired Pear Tree to secure the rights to develop a proprietary vaginal formulation of tamoxifen, now known as DARE-VVA1, as a potential treatment for vulvar and vaginal atrophy.</w:t>
      </w:r>
    </w:p>
    <w:p>
      <w:pPr>
        <w:spacing w:after="0" w:line="76"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i w:val="1"/>
          <w:iCs w:val="1"/>
          <w:color w:val="auto"/>
        </w:rPr>
        <w:t>Milestone Payments</w:t>
      </w:r>
      <w:r>
        <w:rPr>
          <w:rFonts w:ascii="Arial" w:cs="Arial" w:eastAsia="Arial" w:hAnsi="Arial"/>
          <w:sz w:val="18"/>
          <w:szCs w:val="18"/>
          <w:color w:val="auto"/>
        </w:rPr>
        <w:t>. The Company must make contingent payments to the Pear Tree former stockholders and their representatives,</w:t>
      </w:r>
      <w:r>
        <w:rPr>
          <w:rFonts w:ascii="Arial" w:cs="Arial" w:eastAsia="Arial" w:hAnsi="Arial"/>
          <w:sz w:val="18"/>
          <w:szCs w:val="18"/>
          <w:i w:val="1"/>
          <w:iCs w:val="1"/>
          <w:color w:val="auto"/>
        </w:rPr>
        <w:t xml:space="preserve"> </w:t>
      </w:r>
      <w:r>
        <w:rPr>
          <w:rFonts w:ascii="Arial" w:cs="Arial" w:eastAsia="Arial" w:hAnsi="Arial"/>
          <w:sz w:val="18"/>
          <w:szCs w:val="18"/>
          <w:color w:val="auto"/>
        </w:rPr>
        <w:t>or the Holders, that are based on achieving certain clinical, regulatory and commercial milestones, which may be paid, in the Company’s sole discretion, in cash or shares of the Company’s common stock.</w:t>
      </w:r>
    </w:p>
    <w:p>
      <w:pPr>
        <w:spacing w:after="0" w:line="6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Royalty Payments</w:t>
      </w:r>
      <w:r>
        <w:rPr>
          <w:rFonts w:ascii="Arial" w:cs="Arial" w:eastAsia="Arial" w:hAnsi="Arial"/>
          <w:sz w:val="18"/>
          <w:szCs w:val="18"/>
          <w:color w:val="auto"/>
        </w:rPr>
        <w:t>. The Holders will be eligible to receive, subject to certain offsets, tiered royalties, including customary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permitting royalty reductions and offset, based on percentages of annual net sales of certain products subject to license agreements the Company assumed and a percentage of sublicense revenue.</w:t>
      </w:r>
    </w:p>
    <w:p>
      <w:pPr>
        <w:spacing w:after="0" w:line="280"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Company’s 2014 Employee Stock Purchase Plan, or the ESPP, became effective in April 2014, but no offering period has been initiated thereunder since January 2017. There was no stock-based compensation related to the ESPP for the three months ended March 31, 2021 or March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2014 Stock Incentive Plan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maintains the Amended and Restated 2014 Plan, or the Amended 2014 Plan, which provides for the grant of options, stock appreciation rights, restricted stock, restricted stock units and other stock-based awards to employees, officers and directors, and consultants and advisors. There were 2,046,885 shares of common stock authorized for issuance under the Amended 2014 Plan when it was approved by the Company's stockholders in July 2018. The number of authorized shares increases annually on the first day of each fiscal year until, and including, the fiscal year ending December 31, 2024 by the least of (i) 2,000,000, (ii) 4% of the number of outstanding shares of common stock on such date, or (iii) an amount determined by the Company’s board of directors. On January 1, 2021, the number of authorized shares increased by 1,663,850 to 2,168,366, which increase represented 4% of the number of outstanding shares of common stock on such date.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Summary of Stock Option Activity</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table below summarizes stock option activity under the Amended 2014 Plan and related information for the three months ended March 31, 2021. The exercise price of all options granted during the three months ended March 31, 2021 was equal to the market value of the Company’s common stock on the date of grant. As of March 31, 2021, unamortized stock-based compensation expense of $4,651,245 will be amortized over a weighted average period of 3.41 years. At March 31, 2021, 643,666 shares of common stock were reserved for future awards granted under the Amended 2014 Plan.</w:t>
      </w:r>
    </w:p>
    <w:p>
      <w:pPr>
        <w:spacing w:after="0" w:line="200" w:lineRule="exact"/>
        <w:rPr>
          <w:sz w:val="20"/>
          <w:szCs w:val="20"/>
          <w:color w:val="auto"/>
        </w:rPr>
      </w:pPr>
    </w:p>
    <w:p>
      <w:pPr>
        <w:spacing w:after="0" w:line="209"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Number of</w:t>
            </w: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w:t>
            </w:r>
          </w:p>
        </w:tc>
      </w:tr>
      <w:tr>
        <w:trPr>
          <w:trHeight w:val="176"/>
        </w:trPr>
        <w:tc>
          <w:tcPr>
            <w:tcW w:w="6560" w:type="dxa"/>
            <w:vAlign w:val="bottom"/>
          </w:tcPr>
          <w:p>
            <w:pPr>
              <w:spacing w:after="0"/>
              <w:rPr>
                <w:sz w:val="15"/>
                <w:szCs w:val="15"/>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1160" w:type="dxa"/>
            <w:vAlign w:val="bottom"/>
          </w:tcPr>
          <w:p>
            <w:pPr>
              <w:jc w:val="right"/>
              <w:ind w:right="72"/>
              <w:spacing w:after="0"/>
              <w:rPr>
                <w:sz w:val="20"/>
                <w:szCs w:val="20"/>
                <w:color w:val="auto"/>
              </w:rPr>
            </w:pPr>
            <w:r>
              <w:rPr>
                <w:rFonts w:ascii="Arial" w:cs="Arial" w:eastAsia="Arial" w:hAnsi="Arial"/>
                <w:sz w:val="14"/>
                <w:szCs w:val="14"/>
                <w:b w:val="1"/>
                <w:bCs w:val="1"/>
                <w:color w:val="auto"/>
              </w:rPr>
              <w:t>Exercise Price</w:t>
            </w:r>
          </w:p>
        </w:tc>
      </w:tr>
      <w:tr>
        <w:trPr>
          <w:trHeight w:val="250"/>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2,786,591</w:t>
            </w:r>
          </w:p>
        </w:tc>
        <w:tc>
          <w:tcPr>
            <w:tcW w:w="1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r>
      <w:tr>
        <w:trPr>
          <w:trHeight w:val="270"/>
        </w:trPr>
        <w:tc>
          <w:tcPr>
            <w:tcW w:w="65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1,524,700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2.59</w:t>
            </w:r>
          </w:p>
        </w:tc>
      </w:tr>
      <w:tr>
        <w:trPr>
          <w:trHeight w:val="27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6560" w:type="dxa"/>
            <w:vAlign w:val="bottom"/>
          </w:tcPr>
          <w:p>
            <w:pPr>
              <w:ind w:left="220"/>
              <w:spacing w:after="0"/>
              <w:rPr>
                <w:sz w:val="20"/>
                <w:szCs w:val="20"/>
                <w:color w:val="auto"/>
              </w:rPr>
            </w:pPr>
            <w:r>
              <w:rPr>
                <w:rFonts w:ascii="Arial" w:cs="Arial" w:eastAsia="Arial" w:hAnsi="Arial"/>
                <w:sz w:val="18"/>
                <w:szCs w:val="18"/>
                <w:color w:val="auto"/>
              </w:rPr>
              <w:t>Canceled/forfeited</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Expired</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Outstanding at March 31, 2021</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4,311,291</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1.67</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9"/>
        </w:trPr>
        <w:tc>
          <w:tcPr>
            <w:tcW w:w="6560" w:type="dxa"/>
            <w:vAlign w:val="bottom"/>
            <w:tcBorders>
              <w:bottom w:val="single" w:sz="8" w:color="CCEEFF"/>
            </w:tcBorders>
            <w:shd w:val="clear" w:color="auto" w:fill="CCEEFF"/>
          </w:tcPr>
          <w:p>
            <w:pPr>
              <w:ind w:left="20"/>
              <w:spacing w:after="0" w:line="197" w:lineRule="exact"/>
              <w:rPr>
                <w:sz w:val="20"/>
                <w:szCs w:val="20"/>
                <w:color w:val="auto"/>
              </w:rPr>
            </w:pPr>
            <w:r>
              <w:rPr>
                <w:rFonts w:ascii="Arial" w:cs="Arial" w:eastAsia="Arial" w:hAnsi="Arial"/>
                <w:sz w:val="18"/>
                <w:szCs w:val="18"/>
                <w:color w:val="auto"/>
              </w:rPr>
              <w:t>Exercisable at March 31, 2021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1,395,046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39"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Total stock-based compensation expense related to stock options granted to employees and directors recognized in the condensed consolidated statements of operations is as follows:</w:t>
      </w:r>
    </w:p>
    <w:p>
      <w:pPr>
        <w:spacing w:after="0" w:line="245"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Three Months Ended</w:t>
      </w:r>
    </w:p>
    <w:p>
      <w:pPr>
        <w:jc w:val="center"/>
        <w:ind w:left="6420"/>
        <w:spacing w:after="0"/>
        <w:rPr>
          <w:sz w:val="20"/>
          <w:szCs w:val="20"/>
          <w:color w:val="auto"/>
        </w:rPr>
      </w:pPr>
      <w:r>
        <w:rPr>
          <w:rFonts w:ascii="Arial" w:cs="Arial" w:eastAsia="Arial" w:hAnsi="Arial"/>
          <w:sz w:val="14"/>
          <w:szCs w:val="14"/>
          <w:b w:val="1"/>
          <w:bCs w:val="1"/>
          <w:color w:val="auto"/>
        </w:rPr>
        <w:t>March 31,</w:t>
      </w:r>
    </w:p>
    <w:p>
      <w:pPr>
        <w:spacing w:after="0" w:line="37" w:lineRule="exact"/>
        <w:rPr>
          <w:sz w:val="20"/>
          <w:szCs w:val="20"/>
          <w:color w:val="auto"/>
        </w:rPr>
      </w:pPr>
    </w:p>
    <w:tbl>
      <w:tblPr>
        <w:tblLayout w:type="fixed"/>
        <w:tblInd w:w="1040" w:type="dxa"/>
        <w:tblCellMar>
          <w:top w:w="0" w:type="dxa"/>
          <w:left w:w="0" w:type="dxa"/>
          <w:bottom w:w="0" w:type="dxa"/>
          <w:right w:w="0" w:type="dxa"/>
        </w:tblCellMar>
      </w:tblPr>
      <w:tr>
        <w:trPr>
          <w:trHeight w:val="189"/>
        </w:trPr>
        <w:tc>
          <w:tcPr>
            <w:tcW w:w="64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50"/>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115,625</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46,380</w:t>
            </w:r>
          </w:p>
        </w:tc>
      </w:tr>
      <w:tr>
        <w:trPr>
          <w:trHeight w:val="270"/>
        </w:trPr>
        <w:tc>
          <w:tcPr>
            <w:tcW w:w="64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250,286</w:t>
            </w:r>
          </w:p>
        </w:tc>
        <w:tc>
          <w:tcPr>
            <w:tcW w:w="1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114,461</w:t>
            </w:r>
          </w:p>
        </w:tc>
      </w:tr>
      <w:tr>
        <w:trPr>
          <w:trHeight w:val="248"/>
        </w:trPr>
        <w:tc>
          <w:tcPr>
            <w:tcW w:w="64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365,911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160,841</w:t>
            </w:r>
          </w:p>
        </w:tc>
      </w:tr>
      <w:tr>
        <w:trPr>
          <w:trHeight w:val="20"/>
        </w:trPr>
        <w:tc>
          <w:tcPr>
            <w:tcW w:w="64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The assumptions used in the Black-Scholes option-pricing model for stock options granted to employees and to directors in respect of board services during the three months ended March 31, 2021 are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rPr>
              <w:t>Three Months</w:t>
            </w:r>
          </w:p>
        </w:tc>
      </w:tr>
      <w:tr>
        <w:trPr>
          <w:trHeight w:val="135"/>
        </w:trPr>
        <w:tc>
          <w:tcPr>
            <w:tcW w:w="12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40" w:type="dxa"/>
            <w:vAlign w:val="bottom"/>
            <w:gridSpan w:val="2"/>
          </w:tcPr>
          <w:p>
            <w:pPr>
              <w:jc w:val="center"/>
              <w:ind w:right="1200"/>
              <w:spacing w:after="0" w:line="135" w:lineRule="exact"/>
              <w:rPr>
                <w:sz w:val="20"/>
                <w:szCs w:val="20"/>
                <w:color w:val="auto"/>
              </w:rPr>
            </w:pPr>
            <w:r>
              <w:rPr>
                <w:rFonts w:ascii="Arial" w:cs="Arial" w:eastAsia="Arial" w:hAnsi="Arial"/>
                <w:sz w:val="14"/>
                <w:szCs w:val="14"/>
                <w:b w:val="1"/>
                <w:bCs w:val="1"/>
                <w:color w:val="auto"/>
              </w:rPr>
              <w:t>Ended</w:t>
            </w:r>
          </w:p>
        </w:tc>
      </w:tr>
      <w:tr>
        <w:trPr>
          <w:trHeight w:val="175"/>
        </w:trPr>
        <w:tc>
          <w:tcPr>
            <w:tcW w:w="1220" w:type="dxa"/>
            <w:vAlign w:val="bottom"/>
          </w:tcPr>
          <w:p>
            <w:pPr>
              <w:spacing w:after="0"/>
              <w:rPr>
                <w:sz w:val="15"/>
                <w:szCs w:val="15"/>
                <w:color w:val="auto"/>
              </w:rPr>
            </w:pPr>
          </w:p>
        </w:tc>
        <w:tc>
          <w:tcPr>
            <w:tcW w:w="404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March 31,</w:t>
            </w:r>
          </w:p>
        </w:tc>
        <w:tc>
          <w:tcPr>
            <w:tcW w:w="1220" w:type="dxa"/>
            <w:vAlign w:val="bottom"/>
          </w:tcPr>
          <w:p>
            <w:pPr>
              <w:spacing w:after="0"/>
              <w:rPr>
                <w:sz w:val="15"/>
                <w:szCs w:val="15"/>
                <w:color w:val="auto"/>
              </w:rPr>
            </w:pPr>
          </w:p>
        </w:tc>
      </w:tr>
      <w:tr>
        <w:trPr>
          <w:trHeight w:val="250"/>
        </w:trPr>
        <w:tc>
          <w:tcPr>
            <w:tcW w:w="122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4760" w:type="dxa"/>
            <w:vAlign w:val="bottom"/>
            <w:gridSpan w:val="3"/>
          </w:tcPr>
          <w:p>
            <w:pPr>
              <w:jc w:val="center"/>
              <w:ind w:left="3450"/>
              <w:spacing w:after="0"/>
              <w:rPr>
                <w:sz w:val="20"/>
                <w:szCs w:val="20"/>
                <w:color w:val="auto"/>
              </w:rPr>
            </w:pPr>
            <w:r>
              <w:rPr>
                <w:rFonts w:ascii="Arial" w:cs="Arial" w:eastAsia="Arial" w:hAnsi="Arial"/>
                <w:sz w:val="18"/>
                <w:szCs w:val="18"/>
                <w:color w:val="auto"/>
              </w:rPr>
              <w:t>6.0</w:t>
            </w:r>
          </w:p>
        </w:tc>
        <w:tc>
          <w:tcPr>
            <w:tcW w:w="1220" w:type="dxa"/>
            <w:vAlign w:val="bottom"/>
          </w:tcPr>
          <w:p>
            <w:pPr>
              <w:spacing w:after="0"/>
              <w:rPr>
                <w:sz w:val="21"/>
                <w:szCs w:val="21"/>
                <w:color w:val="auto"/>
              </w:rPr>
            </w:pPr>
          </w:p>
        </w:tc>
      </w:tr>
      <w:tr>
        <w:trPr>
          <w:trHeight w:val="270"/>
        </w:trPr>
        <w:tc>
          <w:tcPr>
            <w:tcW w:w="1220" w:type="dxa"/>
            <w:vAlign w:val="bottom"/>
          </w:tcPr>
          <w:p>
            <w:pPr>
              <w:spacing w:after="0"/>
              <w:rPr>
                <w:sz w:val="23"/>
                <w:szCs w:val="23"/>
                <w:color w:val="auto"/>
              </w:rPr>
            </w:pPr>
          </w:p>
        </w:tc>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4760" w:type="dxa"/>
            <w:vAlign w:val="bottom"/>
            <w:gridSpan w:val="3"/>
            <w:shd w:val="clear" w:color="auto" w:fill="CFF0FC"/>
          </w:tcPr>
          <w:p>
            <w:pPr>
              <w:jc w:val="center"/>
              <w:ind w:left="3450"/>
              <w:spacing w:after="0"/>
              <w:rPr>
                <w:sz w:val="20"/>
                <w:szCs w:val="20"/>
                <w:color w:val="auto"/>
              </w:rPr>
            </w:pPr>
            <w:r>
              <w:rPr>
                <w:rFonts w:ascii="Arial" w:cs="Arial" w:eastAsia="Arial" w:hAnsi="Arial"/>
                <w:sz w:val="18"/>
                <w:szCs w:val="18"/>
                <w:color w:val="auto"/>
                <w:w w:val="97"/>
              </w:rPr>
              <w:t>0.58%</w:t>
            </w:r>
          </w:p>
        </w:tc>
        <w:tc>
          <w:tcPr>
            <w:tcW w:w="1220" w:type="dxa"/>
            <w:vAlign w:val="bottom"/>
          </w:tcPr>
          <w:p>
            <w:pPr>
              <w:spacing w:after="0"/>
              <w:rPr>
                <w:sz w:val="23"/>
                <w:szCs w:val="23"/>
                <w:color w:val="auto"/>
              </w:rPr>
            </w:pPr>
          </w:p>
        </w:tc>
      </w:tr>
      <w:tr>
        <w:trPr>
          <w:trHeight w:val="270"/>
        </w:trPr>
        <w:tc>
          <w:tcPr>
            <w:tcW w:w="122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4760" w:type="dxa"/>
            <w:vAlign w:val="bottom"/>
            <w:gridSpan w:val="3"/>
          </w:tcPr>
          <w:p>
            <w:pPr>
              <w:jc w:val="center"/>
              <w:ind w:left="3450"/>
              <w:spacing w:after="0"/>
              <w:rPr>
                <w:sz w:val="20"/>
                <w:szCs w:val="20"/>
                <w:color w:val="auto"/>
              </w:rPr>
            </w:pPr>
            <w:r>
              <w:rPr>
                <w:rFonts w:ascii="Arial" w:cs="Arial" w:eastAsia="Arial" w:hAnsi="Arial"/>
                <w:sz w:val="18"/>
                <w:szCs w:val="18"/>
                <w:color w:val="auto"/>
                <w:w w:val="99"/>
              </w:rPr>
              <w:t>122%</w:t>
            </w:r>
          </w:p>
        </w:tc>
        <w:tc>
          <w:tcPr>
            <w:tcW w:w="1220" w:type="dxa"/>
            <w:vAlign w:val="bottom"/>
          </w:tcPr>
          <w:p>
            <w:pPr>
              <w:spacing w:after="0"/>
              <w:rPr>
                <w:sz w:val="23"/>
                <w:szCs w:val="23"/>
                <w:color w:val="auto"/>
              </w:rPr>
            </w:pPr>
          </w:p>
        </w:tc>
      </w:tr>
      <w:tr>
        <w:trPr>
          <w:trHeight w:val="270"/>
        </w:trPr>
        <w:tc>
          <w:tcPr>
            <w:tcW w:w="1220" w:type="dxa"/>
            <w:vAlign w:val="bottom"/>
          </w:tcPr>
          <w:p>
            <w:pPr>
              <w:spacing w:after="0"/>
              <w:rPr>
                <w:sz w:val="23"/>
                <w:szCs w:val="23"/>
                <w:color w:val="auto"/>
              </w:rPr>
            </w:pPr>
          </w:p>
        </w:tc>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Forfeiture rate</w:t>
            </w:r>
          </w:p>
        </w:tc>
        <w:tc>
          <w:tcPr>
            <w:tcW w:w="4760" w:type="dxa"/>
            <w:vAlign w:val="bottom"/>
            <w:gridSpan w:val="3"/>
            <w:shd w:val="clear" w:color="auto" w:fill="CFF0FC"/>
          </w:tcPr>
          <w:p>
            <w:pPr>
              <w:jc w:val="center"/>
              <w:ind w:left="3450"/>
              <w:spacing w:after="0"/>
              <w:rPr>
                <w:sz w:val="20"/>
                <w:szCs w:val="20"/>
                <w:color w:val="auto"/>
              </w:rPr>
            </w:pPr>
            <w:r>
              <w:rPr>
                <w:rFonts w:ascii="Arial" w:cs="Arial" w:eastAsia="Arial" w:hAnsi="Arial"/>
                <w:sz w:val="18"/>
                <w:szCs w:val="18"/>
                <w:color w:val="auto"/>
              </w:rPr>
              <w:t>0.0%</w:t>
            </w:r>
          </w:p>
        </w:tc>
        <w:tc>
          <w:tcPr>
            <w:tcW w:w="1220" w:type="dxa"/>
            <w:vAlign w:val="bottom"/>
          </w:tcPr>
          <w:p>
            <w:pPr>
              <w:spacing w:after="0"/>
              <w:rPr>
                <w:sz w:val="23"/>
                <w:szCs w:val="23"/>
                <w:color w:val="auto"/>
              </w:rPr>
            </w:pPr>
          </w:p>
        </w:tc>
      </w:tr>
      <w:tr>
        <w:trPr>
          <w:trHeight w:val="270"/>
        </w:trPr>
        <w:tc>
          <w:tcPr>
            <w:tcW w:w="122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4760" w:type="dxa"/>
            <w:vAlign w:val="bottom"/>
            <w:gridSpan w:val="3"/>
          </w:tcPr>
          <w:p>
            <w:pPr>
              <w:jc w:val="center"/>
              <w:ind w:left="3450"/>
              <w:spacing w:after="0"/>
              <w:rPr>
                <w:sz w:val="20"/>
                <w:szCs w:val="20"/>
                <w:color w:val="auto"/>
              </w:rPr>
            </w:pPr>
            <w:r>
              <w:rPr>
                <w:rFonts w:ascii="Arial" w:cs="Arial" w:eastAsia="Arial" w:hAnsi="Arial"/>
                <w:sz w:val="18"/>
                <w:szCs w:val="18"/>
                <w:color w:val="auto"/>
              </w:rPr>
              <w:t>0.0%</w:t>
            </w:r>
          </w:p>
        </w:tc>
        <w:tc>
          <w:tcPr>
            <w:tcW w:w="1220" w:type="dxa"/>
            <w:vAlign w:val="bottom"/>
          </w:tcPr>
          <w:p>
            <w:pPr>
              <w:spacing w:after="0"/>
              <w:rPr>
                <w:sz w:val="23"/>
                <w:szCs w:val="23"/>
                <w:color w:val="auto"/>
              </w:rPr>
            </w:pPr>
          </w:p>
        </w:tc>
      </w:tr>
      <w:tr>
        <w:trPr>
          <w:trHeight w:val="270"/>
        </w:trPr>
        <w:tc>
          <w:tcPr>
            <w:tcW w:w="1220" w:type="dxa"/>
            <w:vAlign w:val="bottom"/>
          </w:tcPr>
          <w:p>
            <w:pPr>
              <w:spacing w:after="0"/>
              <w:rPr>
                <w:sz w:val="23"/>
                <w:szCs w:val="23"/>
                <w:color w:val="auto"/>
              </w:rPr>
            </w:pPr>
          </w:p>
        </w:tc>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fair value of options granted</w:t>
            </w:r>
          </w:p>
        </w:tc>
        <w:tc>
          <w:tcPr>
            <w:tcW w:w="4760" w:type="dxa"/>
            <w:vAlign w:val="bottom"/>
            <w:gridSpan w:val="3"/>
            <w:shd w:val="clear" w:color="auto" w:fill="CFF0FC"/>
          </w:tcPr>
          <w:p>
            <w:pPr>
              <w:jc w:val="center"/>
              <w:ind w:left="3450"/>
              <w:spacing w:after="0"/>
              <w:rPr>
                <w:sz w:val="20"/>
                <w:szCs w:val="20"/>
                <w:color w:val="auto"/>
              </w:rPr>
            </w:pPr>
            <w:r>
              <w:rPr>
                <w:rFonts w:ascii="Arial" w:cs="Arial" w:eastAsia="Arial" w:hAnsi="Arial"/>
                <w:sz w:val="18"/>
                <w:szCs w:val="18"/>
                <w:color w:val="auto"/>
              </w:rPr>
              <w:t>$2.25</w:t>
            </w:r>
          </w:p>
        </w:tc>
        <w:tc>
          <w:tcPr>
            <w:tcW w:w="1220" w:type="dxa"/>
            <w:vAlign w:val="bottom"/>
          </w:tcPr>
          <w:p>
            <w:pPr>
              <w:spacing w:after="0"/>
              <w:rPr>
                <w:sz w:val="23"/>
                <w:szCs w:val="23"/>
                <w:color w:val="auto"/>
              </w:rPr>
            </w:pPr>
          </w:p>
        </w:tc>
      </w:tr>
      <w:tr>
        <w:trPr>
          <w:trHeight w:val="864"/>
        </w:trPr>
        <w:tc>
          <w:tcPr>
            <w:tcW w:w="12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00" w:type="dxa"/>
            <w:vAlign w:val="bottom"/>
          </w:tcPr>
          <w:p>
            <w:pPr>
              <w:jc w:val="right"/>
              <w:ind w:right="285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2" w:name="page23"/>
    <w:bookmarkEnd w:id="22"/>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ATM Sales Agreement</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January 2018 the Company entered into a common stock sales agreement with H.C. Wainwright &amp; Co., LLC, or Wainwright, relating to the offering and sale of shares of our common stock from time to time in an "at the market offerings" of equity securities (as defined in Rule 415 promulgated under the Securities Act of 1933, as amended, or the Securities Act) through Wainwright, acting as sales agent. In accordance with the agreement, on March 29, 2021, we provided notice to Wainwright to terminate the agreement. The agreement terminated on April 3, 2021. Under the agreement, Wainwright was entitled to a commission at a fixed commission rate equal to 3.0% of the gross proceeds per share sold under the agreement and we provided Wainwright with customary indemnification rights.</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three months ended March 31, 2021, the Company sold approximately 3.3 million shares of common stock under this agreement for gross proceeds of approximately $7.7 million and incurred offering expenses of approximately $245,000. During the three months ended March 31, 2020, the Company sold approximately 3.3 million shares under this agreement for gross proceeds of approximately $5.4 million and incurred offering expenses of approximately $220,000.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Line</w:t>
      </w:r>
    </w:p>
    <w:p>
      <w:pPr>
        <w:spacing w:after="0" w:line="27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April 2020, the Company entered into a purchase agreement, or the Purchase Agreement, and a registration rights agreement with Lincoln Park Capital Fund, LLC, or Lincoln Park. Under the terms and subject to the conditions of the Purchase Agreement, the Company has the right, but not the obligation, to sell to Lincoln Park, and Lincoln Park is obligated to purchase up to $15.0 million of the Company’s common stock. Such sales of common stock by the Company may occur from time to time, at the Company’s sole discretion, subject to certain limitations, until May 19, 2023. On April 22, 2020, in accordance with the Purchase Agreement, the Company issued 285,714 shares of its common stock, or the Commitment Shares, to Lincoln Park in consideration for its commitment to purchase shares under the Purchase Agreement. The Company filed a registration statement on Form S-1 (File No. 333-237954) to register the resale by Lincoln Park of up to 7.5 million shares of the Company's common stock issued or issuable to Lincoln Park under the Purchase Agreement, including the Commitment Shares, and such registration statement was declared effective by the SEC on May 12, 2020. The Company filed a registration statement on Form S-1 (File No. 333-251599) to register the resale by Lincoln Park of up to 6.4 million additional shares of the Company's common stock issued or issuable to Lincoln Park under the Purchase Agreement, and such registration statement was declared effective by the SEC on January 7, 2021.</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incurred legal, accounting, and other fees related to the Purchase Agreement of approximately $374,000. These costs are amortized and expensed as shares are sold under the Purchase Agreement and as of March 31, 2021 there was approximately $76,000 of unamortized costs. During the three months ended March 31, 2021, the Company sold, and Lincoln Park purchased, 2.4 million shares under the Purchase Agreement for gross proceeds to the Company of approximately $4.0 million and recognized offering expenses of approximately $131,000.</w:t>
      </w:r>
    </w:p>
    <w:p>
      <w:pPr>
        <w:spacing w:after="0" w:line="16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Purchase Agreement, on any business day until May 19, 2023, the Company may direct Lincoln Park to purchase up to 200,000 shares of common stock, each, a Regular Purchase. The Company may increase the share amount it directs Lincoln Park to purchase under a Regular Purchase to up to 250,000 shares or up to 300,000 shares if the closing sale price of the Company's common stock is not below $ 1.50 or $3.00, respectively, on the business day on which the Company initiates the purchase, subject to adjustment for any reorganization, recapitalization, non-cash dividend, stock split or other similar transaction as provided in the Purchase Agreement. However, Lincoln Park’s maximum commitment in any single Regular Purchase may not exceed $1.0 million. The purchase price per share for each Regular Purchase will be the lower of (i) the lowest sale price of the Company's common stock on the business day on which the Company initiates the purchase and (ii) the average of the three lowest closing sale prices of the Company's common stock during the 10-business day period immediately preceding the business day on which the Company initiates the purchase. In addition to Regular Purchases, the Company may also direct Lincoln Park to purchase other amounts of common stock as accelerated purchases and as additional accelerated purchases, subject to limits specified in the Purchase Agreement, at a purchase price per share calculated as specified in the Purchase Agreement, but in no case lower than the minimum price per share the Company stipulates in its notice to Lincoln Park initiating these purchases.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3" w:name="page24"/>
    <w:bookmarkEnd w:id="23"/>
    <w:p>
      <w:pPr>
        <w:jc w:val="both"/>
        <w:ind w:firstLine="648"/>
        <w:spacing w:after="0" w:line="252" w:lineRule="auto"/>
        <w:rPr>
          <w:sz w:val="20"/>
          <w:szCs w:val="20"/>
          <w:color w:val="auto"/>
        </w:rPr>
      </w:pPr>
      <w:r>
        <w:rPr>
          <w:rFonts w:ascii="Arial" w:cs="Arial" w:eastAsia="Arial" w:hAnsi="Arial"/>
          <w:sz w:val="18"/>
          <w:szCs w:val="18"/>
          <w:color w:val="auto"/>
        </w:rPr>
        <w:t>In addition, under applicable Nasdaq rules, the Company may not issue or sell to Lincoln Park under the Purchase Agreement more than 4,941,089 shares of its common stock, or the Exchange Cap, unless (i) the Company obtains stockholder approval to issue shares in excess of the Exchange Cap or (ii) the average price of all applicable sales of the Company's common stock to Lincoln Park under the Purchase Agreement equals or exceeds $1.0117 (which represents the closing sale price per share of the Company's common stock on the day before the Company entered into the Purchase Agreement, plus an incremental amount). In addition, the Company may not sell shares to Lincoln Park under the Purchase Agreement if such sale would result in Lincoln Park beneficially owning more than 9.99% of the Company's then outstanding shares of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February 2018, the Company closed an underwritten public offering in connection with which the Company issued to the investors in that offering warrants that initially had an exercise price of $3.00 per share and are exercisable through February 2023. The warrants include a price-based anti-dilution provision, which provides that, subject to certain limited exceptions, the exercise price of the warrants will be reduced each time the Company issues or sells (or is deemed to issue or sell) securities for a net consideration per share less than the exercise price of those warrants in effect immediately prior to such issuance or sale. In addition, subject to certain exceptions, if the Company issues, sells or enters into any agreement to issue or sell securities at a price which varies or may vary with the market price of the shares of the Company’s common stock, the warrant holders have the right to substitute such variable price for the exercise price of the warrant then in effect. These warrants are exercisable only for cash, unless a registration statement covering the shares issued upon exercise of the warrants is not effective, in which case the warrants may be exercised on a cashless basis. A registration statement covering the shares issued upon exercise of the warrants is currently effective. The Company estimated the fair value of the warrants as of February 15, 2018 to be approximately $ 3.0 million which was recorded in equity as of the grant date. The Company early adopted ASU 2017-11 as of January 1, 2018 and recorded the fair value of the warrants as equity.</w:t>
      </w:r>
    </w:p>
    <w:p>
      <w:pPr>
        <w:spacing w:after="0" w:line="1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April 2019 and July 2020, in accordance with the price-based anti-dilution provision discussed above, the exercise price of these warrants was automatically reduced to $0.98 per share and to $0.96 per share, respectively, and as a result of the triggering of the anti-dilution provision, $0.8 million and $6,863, respectively, was recorded to additional paid-in capital.</w:t>
      </w:r>
    </w:p>
    <w:p>
      <w:pPr>
        <w:spacing w:after="0" w:line="94"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8"/>
          <w:szCs w:val="18"/>
          <w:color w:val="auto"/>
        </w:rPr>
        <w:t>During the three months ended March 31, 2021, warrants to purchase an aggregate of 52,500 shares of common stock were exercised for gross proceeds of approximately $50,000. During the three months ended March 31, 2020, warrants to purchase an aggregate of 1,699,000 shares of common stock were exercised for gross proceeds of approximately $1.7 million. As of March 31, 2021, the Company had the following warrants outstanding:</w:t>
      </w:r>
    </w:p>
    <w:p>
      <w:pPr>
        <w:spacing w:after="0" w:line="165"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3000" w:type="dxa"/>
            <w:vAlign w:val="bottom"/>
          </w:tcPr>
          <w:p>
            <w:pPr>
              <w:jc w:val="center"/>
              <w:spacing w:after="0"/>
              <w:rPr>
                <w:sz w:val="20"/>
                <w:szCs w:val="20"/>
                <w:color w:val="auto"/>
              </w:rPr>
            </w:pPr>
            <w:r>
              <w:rPr>
                <w:rFonts w:ascii="Arial" w:cs="Arial" w:eastAsia="Arial" w:hAnsi="Arial"/>
                <w:sz w:val="14"/>
                <w:szCs w:val="14"/>
                <w:b w:val="1"/>
                <w:bCs w:val="1"/>
                <w:color w:val="auto"/>
              </w:rPr>
              <w:t>Shares Underlying</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Exercise Price</w:t>
            </w:r>
          </w:p>
        </w:tc>
        <w:tc>
          <w:tcPr>
            <w:tcW w:w="420" w:type="dxa"/>
            <w:vAlign w:val="bottom"/>
            <w:vMerge w:val="restart"/>
          </w:tcPr>
          <w:p>
            <w:pPr>
              <w:spacing w:after="0"/>
              <w:rPr>
                <w:sz w:val="14"/>
                <w:szCs w:val="14"/>
                <w:color w:val="auto"/>
              </w:rPr>
            </w:pPr>
          </w:p>
        </w:tc>
        <w:tc>
          <w:tcPr>
            <w:tcW w:w="2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75"/>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 Warrants</w:t>
            </w:r>
          </w:p>
        </w:tc>
        <w:tc>
          <w:tcPr>
            <w:tcW w:w="4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CCEEFF"/>
            </w:tcBorders>
            <w:vMerge w:val="continue"/>
          </w:tcPr>
          <w:p>
            <w:pPr>
              <w:spacing w:after="0"/>
              <w:rPr>
                <w:sz w:val="15"/>
                <w:szCs w:val="15"/>
                <w:color w:val="auto"/>
              </w:rPr>
            </w:pPr>
          </w:p>
        </w:tc>
        <w:tc>
          <w:tcPr>
            <w:tcW w:w="2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2,906</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98"/>
              </w:rPr>
              <w:t>120.40</w:t>
            </w:r>
          </w:p>
        </w:tc>
        <w:tc>
          <w:tcPr>
            <w:tcW w:w="420" w:type="dxa"/>
            <w:vAlign w:val="bottom"/>
            <w:shd w:val="clear" w:color="auto" w:fill="CCEEFF"/>
          </w:tcPr>
          <w:p>
            <w:pPr>
              <w:spacing w:after="0"/>
              <w:rPr>
                <w:sz w:val="21"/>
                <w:szCs w:val="21"/>
                <w:color w:val="auto"/>
              </w:rPr>
            </w:pP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12/01/2021</w:t>
            </w:r>
          </w:p>
        </w:tc>
        <w:tc>
          <w:tcPr>
            <w:tcW w:w="0" w:type="dxa"/>
            <w:vAlign w:val="bottom"/>
          </w:tcPr>
          <w:p>
            <w:pPr>
              <w:spacing w:after="0"/>
              <w:rPr>
                <w:sz w:val="1"/>
                <w:szCs w:val="1"/>
                <w:color w:val="auto"/>
              </w:rPr>
            </w:pPr>
          </w:p>
        </w:tc>
      </w:tr>
      <w:tr>
        <w:trPr>
          <w:trHeight w:val="270"/>
        </w:trPr>
        <w:tc>
          <w:tcPr>
            <w:tcW w:w="3000" w:type="dxa"/>
            <w:vAlign w:val="bottom"/>
          </w:tcPr>
          <w:p>
            <w:pPr>
              <w:jc w:val="center"/>
              <w:spacing w:after="0"/>
              <w:rPr>
                <w:sz w:val="20"/>
                <w:szCs w:val="20"/>
                <w:color w:val="auto"/>
              </w:rPr>
            </w:pPr>
            <w:r>
              <w:rPr>
                <w:rFonts w:ascii="Arial" w:cs="Arial" w:eastAsia="Arial" w:hAnsi="Arial"/>
                <w:sz w:val="18"/>
                <w:szCs w:val="18"/>
                <w:color w:val="auto"/>
              </w:rPr>
              <w:t>3,737</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40" w:type="dxa"/>
            <w:vAlign w:val="bottom"/>
          </w:tcPr>
          <w:p>
            <w:pPr>
              <w:jc w:val="center"/>
              <w:ind w:right="14"/>
              <w:spacing w:after="0"/>
              <w:rPr>
                <w:sz w:val="20"/>
                <w:szCs w:val="20"/>
                <w:color w:val="auto"/>
              </w:rPr>
            </w:pPr>
            <w:r>
              <w:rPr>
                <w:rFonts w:ascii="Arial" w:cs="Arial" w:eastAsia="Arial" w:hAnsi="Arial"/>
                <w:sz w:val="18"/>
                <w:szCs w:val="18"/>
                <w:color w:val="auto"/>
                <w:w w:val="98"/>
              </w:rPr>
              <w:t>120.40</w:t>
            </w:r>
          </w:p>
        </w:tc>
        <w:tc>
          <w:tcPr>
            <w:tcW w:w="420" w:type="dxa"/>
            <w:vAlign w:val="bottom"/>
          </w:tcPr>
          <w:p>
            <w:pPr>
              <w:spacing w:after="0"/>
              <w:rPr>
                <w:sz w:val="23"/>
                <w:szCs w:val="23"/>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9"/>
              </w:rPr>
              <w:t>12/06/2021</w:t>
            </w: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6,500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spacing w:after="0"/>
              <w:rPr>
                <w:sz w:val="23"/>
                <w:szCs w:val="23"/>
                <w:color w:val="auto"/>
              </w:rPr>
            </w:pP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04/04/2026</w:t>
            </w:r>
          </w:p>
        </w:tc>
        <w:tc>
          <w:tcPr>
            <w:tcW w:w="0" w:type="dxa"/>
            <w:vAlign w:val="bottom"/>
          </w:tcPr>
          <w:p>
            <w:pPr>
              <w:spacing w:after="0"/>
              <w:rPr>
                <w:sz w:val="1"/>
                <w:szCs w:val="1"/>
                <w:color w:val="auto"/>
              </w:rPr>
            </w:pPr>
          </w:p>
        </w:tc>
      </w:tr>
      <w:tr>
        <w:trPr>
          <w:trHeight w:val="270"/>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1,843,000</w:t>
            </w:r>
          </w:p>
        </w:tc>
        <w:tc>
          <w:tcPr>
            <w:tcW w:w="94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tcPr>
          <w:p>
            <w:pPr>
              <w:jc w:val="center"/>
              <w:ind w:right="14"/>
              <w:spacing w:after="0"/>
              <w:rPr>
                <w:sz w:val="20"/>
                <w:szCs w:val="20"/>
                <w:color w:val="auto"/>
              </w:rPr>
            </w:pPr>
            <w:r>
              <w:rPr>
                <w:rFonts w:ascii="Arial" w:cs="Arial" w:eastAsia="Arial" w:hAnsi="Arial"/>
                <w:sz w:val="18"/>
                <w:szCs w:val="18"/>
                <w:color w:val="auto"/>
                <w:w w:val="96"/>
              </w:rPr>
              <w:t>0.96</w:t>
            </w:r>
          </w:p>
        </w:tc>
        <w:tc>
          <w:tcPr>
            <w:tcW w:w="420" w:type="dxa"/>
            <w:vAlign w:val="bottom"/>
            <w:tcBorders>
              <w:bottom w:val="single" w:sz="8" w:color="CCEEFF"/>
            </w:tcBorders>
          </w:tcPr>
          <w:p>
            <w:pPr>
              <w:spacing w:after="0"/>
              <w:rPr>
                <w:sz w:val="23"/>
                <w:szCs w:val="23"/>
                <w:color w:val="auto"/>
              </w:rPr>
            </w:pPr>
          </w:p>
        </w:tc>
        <w:tc>
          <w:tcPr>
            <w:tcW w:w="28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02/15/2023</w:t>
            </w:r>
          </w:p>
        </w:tc>
        <w:tc>
          <w:tcPr>
            <w:tcW w:w="0" w:type="dxa"/>
            <w:vAlign w:val="bottom"/>
          </w:tcPr>
          <w:p>
            <w:pPr>
              <w:spacing w:after="0"/>
              <w:rPr>
                <w:sz w:val="1"/>
                <w:szCs w:val="1"/>
                <w:color w:val="auto"/>
              </w:rPr>
            </w:pPr>
          </w:p>
        </w:tc>
      </w:tr>
      <w:tr>
        <w:trPr>
          <w:trHeight w:val="248"/>
        </w:trPr>
        <w:tc>
          <w:tcPr>
            <w:tcW w:w="3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1,856,143</w:t>
            </w:r>
          </w:p>
        </w:tc>
        <w:tc>
          <w:tcPr>
            <w:tcW w:w="4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ind w:left="400" w:hanging="392"/>
        <w:spacing w:after="0"/>
        <w:tabs>
          <w:tab w:leader="none" w:pos="4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LEASED PROPERTIES</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Company's lease for its corporate headquarters (3,169 square feet of office space) commenced on July 1, 2018. In January 2021, the Company exercised its option to extend the term of the lease for one year such that the term now expires July 31, 2022.</w:t>
      </w:r>
    </w:p>
    <w:p>
      <w:pPr>
        <w:spacing w:after="0" w:line="14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Microchips, which the Company acquired in November 2019, leases general office space in Lexington, Massachusetts and warehouse space in Billerica, Massachusetts. The Lexington lease commenced on July 1, 2013. In January 2021, the Company entered into an amendment to extend the term of the lease for one year such that the term now expires on September 30, 2022. The Billerica lease commenced on October 1, 2016 and terminates on March 31, 2022.</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24" w:name="page25"/>
    <w:bookmarkEnd w:id="24"/>
    <w:p>
      <w:pPr>
        <w:jc w:val="both"/>
        <w:ind w:firstLine="648"/>
        <w:spacing w:after="0" w:line="253" w:lineRule="auto"/>
        <w:rPr>
          <w:sz w:val="20"/>
          <w:szCs w:val="20"/>
          <w:color w:val="auto"/>
        </w:rPr>
      </w:pPr>
      <w:r>
        <w:rPr>
          <w:rFonts w:ascii="Arial" w:cs="Arial" w:eastAsia="Arial" w:hAnsi="Arial"/>
          <w:sz w:val="18"/>
          <w:szCs w:val="18"/>
          <w:color w:val="auto"/>
        </w:rPr>
        <w:t xml:space="preserve">Under </w:t>
      </w:r>
      <w:r>
        <w:rPr>
          <w:rFonts w:ascii="Arial" w:cs="Arial" w:eastAsia="Arial" w:hAnsi="Arial"/>
          <w:sz w:val="18"/>
          <w:szCs w:val="18"/>
          <w:color w:val="191C1F"/>
        </w:rPr>
        <w:t>the terms of each lease, the lessee pays base annual rent (subject to an annual fixed percentage increase), plus property</w:t>
      </w:r>
      <w:r>
        <w:rPr>
          <w:rFonts w:ascii="Arial" w:cs="Arial" w:eastAsia="Arial" w:hAnsi="Arial"/>
          <w:sz w:val="18"/>
          <w:szCs w:val="18"/>
          <w:color w:val="auto"/>
        </w:rPr>
        <w:t xml:space="preserve"> </w:t>
      </w:r>
      <w:r>
        <w:rPr>
          <w:rFonts w:ascii="Arial" w:cs="Arial" w:eastAsia="Arial" w:hAnsi="Arial"/>
          <w:sz w:val="18"/>
          <w:szCs w:val="18"/>
          <w:color w:val="191C1F"/>
        </w:rPr>
        <w:t xml:space="preserve">taxes, and other normal and necessary expenses, such as utilities, repairs, and maintenance. </w:t>
      </w:r>
      <w:r>
        <w:rPr>
          <w:rFonts w:ascii="Arial" w:cs="Arial" w:eastAsia="Arial" w:hAnsi="Arial"/>
          <w:sz w:val="18"/>
          <w:szCs w:val="18"/>
          <w:color w:val="000000"/>
        </w:rPr>
        <w:t>The Company evaluates renewal options at</w:t>
      </w:r>
      <w:r>
        <w:rPr>
          <w:rFonts w:ascii="Arial" w:cs="Arial" w:eastAsia="Arial" w:hAnsi="Arial"/>
          <w:sz w:val="18"/>
          <w:szCs w:val="18"/>
          <w:color w:val="191C1F"/>
        </w:rPr>
        <w:t xml:space="preserve"> </w:t>
      </w:r>
      <w:r>
        <w:rPr>
          <w:rFonts w:ascii="Arial" w:cs="Arial" w:eastAsia="Arial" w:hAnsi="Arial"/>
          <w:sz w:val="18"/>
          <w:szCs w:val="18"/>
          <w:color w:val="000000"/>
        </w:rPr>
        <w:t>lease inception and on an ongoing basis and includes renewal options that it is reasonably certain to exercise in its expected lease terms when classifying leases and measuring lease liabilities. The leases do not require material variable lease payments, residual value guarantees or restrictive covenants.</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leases do not provide an implicit rate, and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 within a particular currency environment. The Company uses an incremental borrowing rate of 7% for operating leases that commenced prior to January 2019 (and all of the Company's operating leases commenced prior to such date). The depreciable lives of operating leases and leasehold improvements are limited by the expected lease term.</w:t>
      </w:r>
    </w:p>
    <w:p>
      <w:pPr>
        <w:spacing w:after="0" w:line="1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March 31, 2021, the Company reported operating lease ROU assets of approximately $470,000 in other non-current assets, and $444,000 and $152,000, respectively, in current portion of lease liabilities and lease liabilities long-term on the condensed consolidated balance sheet.</w:t>
      </w:r>
    </w:p>
    <w:p>
      <w:pPr>
        <w:spacing w:after="0" w:line="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Total operating lease costs were approximately $135,000 and $99,000 for the three months ended March 31, 2021 and March 31, 2020, respectively. Operating lease costs consist of monthly lease payments expense, common area maintenance and other repair and maintenance costs and are included in general and administrative expenses in the condensed consolidated statements of operations.</w:t>
      </w:r>
    </w:p>
    <w:p>
      <w:pPr>
        <w:spacing w:after="0" w:line="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Cash paid for amounts included in the measurement of operating lease liabilities was approximately $ 112,000 and $128,000 for the three months ended March 31, 2021 and March 31, 2020, respectively, and these amounts are included in operating activities in the condensed consolidated statements of cash flows. Further, at March 31, 2021, operating leases had a weighted average remaining lease term of 1.31 years.</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future minimum lease payments under the Company's operating leases are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20" w:type="dxa"/>
            <w:vAlign w:val="bottom"/>
          </w:tcPr>
          <w:p>
            <w:pPr>
              <w:spacing w:after="0"/>
              <w:rPr>
                <w:sz w:val="22"/>
                <w:szCs w:val="22"/>
                <w:color w:val="auto"/>
              </w:rPr>
            </w:pPr>
          </w:p>
        </w:tc>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Remainder of 2021</w:t>
            </w:r>
          </w:p>
        </w:tc>
        <w:tc>
          <w:tcPr>
            <w:tcW w:w="4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349,000</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40" w:type="dxa"/>
            <w:vAlign w:val="bottom"/>
            <w:gridSpan w:val="2"/>
          </w:tcPr>
          <w:p>
            <w:pPr>
              <w:ind w:left="1240"/>
              <w:spacing w:after="0"/>
              <w:rPr>
                <w:sz w:val="20"/>
                <w:szCs w:val="20"/>
                <w:color w:val="auto"/>
              </w:rPr>
            </w:pPr>
            <w:r>
              <w:rPr>
                <w:rFonts w:ascii="Arial" w:cs="Arial" w:eastAsia="Arial" w:hAnsi="Arial"/>
                <w:sz w:val="18"/>
                <w:szCs w:val="18"/>
                <w:color w:val="auto"/>
              </w:rPr>
              <w:t>2022</w:t>
            </w:r>
          </w:p>
        </w:tc>
        <w:tc>
          <w:tcPr>
            <w:tcW w:w="3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278,000</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40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future minimum lease payments</w:t>
            </w:r>
          </w:p>
        </w:tc>
        <w:tc>
          <w:tcPr>
            <w:tcW w:w="38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627,000</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20" w:type="dxa"/>
            <w:vAlign w:val="bottom"/>
          </w:tcPr>
          <w:p>
            <w:pPr>
              <w:spacing w:after="0"/>
              <w:rPr>
                <w:sz w:val="21"/>
                <w:szCs w:val="21"/>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Less: accreted interest</w:t>
            </w:r>
          </w:p>
        </w:tc>
        <w:tc>
          <w:tcPr>
            <w:tcW w:w="3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31,000</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020" w:type="dxa"/>
            <w:vAlign w:val="bottom"/>
          </w:tcPr>
          <w:p>
            <w:pPr>
              <w:spacing w:after="0"/>
              <w:rPr>
                <w:sz w:val="21"/>
                <w:szCs w:val="21"/>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operating lease liabilities</w:t>
            </w:r>
          </w:p>
        </w:tc>
        <w:tc>
          <w:tcPr>
            <w:tcW w:w="4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596,000</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bottom w:val="single" w:sz="8" w:color="CCEEFF"/>
            </w:tcBorders>
            <w:vMerge w:val="restart"/>
          </w:tcPr>
          <w:p>
            <w:pPr>
              <w:jc w:val="right"/>
              <w:ind w:right="3110"/>
              <w:spacing w:after="0"/>
              <w:rPr>
                <w:sz w:val="20"/>
                <w:szCs w:val="20"/>
                <w:color w:val="auto"/>
              </w:rPr>
            </w:pPr>
            <w:r>
              <w:rPr>
                <w:rFonts w:ascii="Arial" w:cs="Arial" w:eastAsia="Arial" w:hAnsi="Arial"/>
                <w:sz w:val="18"/>
                <w:szCs w:val="18"/>
                <w:color w:val="auto"/>
              </w:rPr>
              <w:t>20</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10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5" w:name="page26"/>
    <w:bookmarkEnd w:id="25"/>
    <w:p>
      <w:pPr>
        <w:ind w:left="360" w:hanging="352"/>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connection with the acquisition of Microchips, the Company agreed to pay contingent consideration based upon the achievement of specified funding, product development and regulatory milestones. The Company recorded $1.0 million in contingent consideration liability associated with milestone payments expected to become payable in the first half of 2021 in its condensed consolidated balance sheet at March 31, 2021. The Company may pay the milestones in cash, shares of the Company's common stock or with some combination of both.</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Note Payable</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April 2020, due to the economic uncertainty resulting from the impact of the COVID-19 pandemic on the Company's operations and to support its ongoing operations and retain all employees, the Company applied for and received a loan of $367,285 under the Paycheck Protection Program, or the PPP, of the Coronavirus Aid, Relief, and Economic Security Act, or CARES Act, administered by the U.S. Small Business Administration, or the SBA. Under the terms of the PPP, the loan proceeds could be used for "qualifying expenses" and, subject to specified limitations in the CARES Act and under the terms of the PPP, certain amounts of the loan, including accrued interest, may be forgiven if used for qualifying expenses. In January 2021, the Company was notified that the principal balance of its PPP loan and all accrued interest, which together totaled $369,887, were fully forgiven by the SBA. The Company recorded a gain on extinguishment of note payable and debt forgiveness income with respect to such loan forgiveness in the first quarter of 2021.</w:t>
      </w:r>
    </w:p>
    <w:p>
      <w:pPr>
        <w:spacing w:after="0" w:line="291"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GRANT AWARDS</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NIH Grant Funding</w:t>
      </w:r>
    </w:p>
    <w:p>
      <w:pPr>
        <w:spacing w:after="0" w:line="2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has received notices of awards and grant funding from the National Institutes of Health, or the NIH, to support the development of Ovaprene and DARE-FRT1. The NIH issues notices of awards to the Company for a specified amount, and the Company must incur and track expenses eligible for reimbursement under the award and submit a detailed accounting of such expenses to receive payment. If the Company receives payments under the award, the amounts of such payments are recognized in the statement of operations as a reduction to research and development activities as the related costs are incurred to meet those obligations over the period.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Ovaprene</w:t>
      </w:r>
    </w:p>
    <w:p>
      <w:pPr>
        <w:spacing w:after="0" w:line="27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Since 2018, the Company has received approximately $1.9 million of grant funding from the Eunice Kennedy Shriver National Institute of Child Health and Human Development, a division of the NIH, for clinical development efforts supporting Ovaprene. The final notice of award the Company received was for approximately $731,000 in April 2020, substantially all of which has been funded to date.</w:t>
      </w:r>
    </w:p>
    <w:p>
      <w:pPr>
        <w:spacing w:after="0" w:line="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Company recorded credits to research and development expense for costs related to the NIH award of an immaterial amount for the three months ended March 31, 2021 and approximately $293,000 for the three months ended March 31, 2020.</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DARE-FRT1</w:t>
      </w:r>
    </w:p>
    <w:p>
      <w:pPr>
        <w:spacing w:after="0" w:line="27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August 2020, the Company received a notice of award of a grant from the NIH to support the development of DARE-FRT1. The award in the amount of $300,000 was for what is referred to as the "Phase I" segment of the project outlined in the Company's grant application, which is to occur during the period of August 2020 through July 2021. Additional potential funding of up to approximately $2.0 million for the "Phase II" segment of the project outlined in the grant application is contingent upon satisfying specified requirements, including, assessment of the results of the Phase I segment, determination that the Phase I goals were achieved, and availability of funds. There is no guarantee the Company will receive any Phase II award.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6" w:name="page27"/>
    <w:bookmarkEnd w:id="26"/>
    <w:p>
      <w:pPr>
        <w:jc w:val="both"/>
        <w:ind w:firstLine="648"/>
        <w:spacing w:after="0" w:line="256" w:lineRule="auto"/>
        <w:rPr>
          <w:sz w:val="20"/>
          <w:szCs w:val="20"/>
          <w:color w:val="auto"/>
        </w:rPr>
      </w:pPr>
      <w:r>
        <w:rPr>
          <w:rFonts w:ascii="Arial" w:cs="Arial" w:eastAsia="Arial" w:hAnsi="Arial"/>
          <w:sz w:val="18"/>
          <w:szCs w:val="18"/>
          <w:color w:val="auto"/>
        </w:rPr>
        <w:t>The Company recorded credits to research and development expense for costs related to the NIH award of approximately $14,000 during the three months ended March 31, 2021. At March 31, 2021, the Company recorded a receivable of approximately $14,000 for expenses incurred through such date that it believes are eligible for reimbursement under the grant.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Bill &amp; Melinda Gates Foundation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Company's wholly-owned subsidiary, Microchips, has a grant agreement with the Bill &amp; Melinda Gates Foundation, or the Foundation, relating to the development of the pre-clinical stage contraceptive candidate, DARE-LARC1. Expenses eligible for grant funding must be incurred, tracked and reported to the Foundation. Microchips received grant funding payments of approximately $2.9 million in 2019 and $2.5 million in 2020. At March 31, 2021, grant funding payments associated with research and development expenses for DARE-LARC1 not yet incurred totaled approximately $0.7 million and are recorded as deferred grant funding liability in the Company's condensed consolidated balance sheet.</w:t>
      </w:r>
    </w:p>
    <w:p>
      <w:pPr>
        <w:spacing w:after="0" w:line="294"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outstanding options and warrants to purchase shares of the Company’s common stock. Common share equivalents are excluded from the diluted net loss per share calculation if their effect is anti-dilutive.</w:t>
      </w:r>
    </w:p>
    <w:p>
      <w:pPr>
        <w:spacing w:after="0" w:line="9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following potentially dilutive outstanding securities were excluded from diluted net loss per common share for the period indicated because of their anti-dilutive effect:</w:t>
      </w:r>
    </w:p>
    <w:p>
      <w:pPr>
        <w:spacing w:after="0" w:line="244" w:lineRule="exact"/>
        <w:rPr>
          <w:sz w:val="20"/>
          <w:szCs w:val="20"/>
          <w:color w:val="auto"/>
        </w:rPr>
      </w:pPr>
    </w:p>
    <w:tbl>
      <w:tblPr>
        <w:tblLayout w:type="fixed"/>
        <w:tblInd w:w="1020" w:type="dxa"/>
        <w:tblCellMar>
          <w:top w:w="0" w:type="dxa"/>
          <w:left w:w="0" w:type="dxa"/>
          <w:bottom w:w="0" w:type="dxa"/>
          <w:right w:w="0" w:type="dxa"/>
        </w:tblCellMar>
      </w:tblPr>
      <w:tr>
        <w:trPr>
          <w:trHeight w:val="184"/>
        </w:trPr>
        <w:tc>
          <w:tcPr>
            <w:tcW w:w="6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Potentially dilutive securities</w:t>
            </w:r>
          </w:p>
        </w:tc>
        <w:tc>
          <w:tcPr>
            <w:tcW w:w="260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6620" w:type="dxa"/>
            <w:vAlign w:val="bottom"/>
            <w:gridSpan w:val="2"/>
            <w:vMerge w:val="continue"/>
          </w:tcPr>
          <w:p>
            <w:pPr>
              <w:spacing w:after="0"/>
              <w:rPr>
                <w:sz w:val="18"/>
                <w:szCs w:val="18"/>
                <w:color w:val="auto"/>
              </w:rPr>
            </w:pPr>
          </w:p>
        </w:tc>
        <w:tc>
          <w:tcPr>
            <w:tcW w:w="1680" w:type="dxa"/>
            <w:vAlign w:val="bottom"/>
            <w:gridSpan w:val="3"/>
          </w:tcPr>
          <w:p>
            <w:pPr>
              <w:jc w:val="center"/>
              <w:ind w:left="836"/>
              <w:spacing w:after="0"/>
              <w:rPr>
                <w:sz w:val="20"/>
                <w:szCs w:val="20"/>
                <w:color w:val="auto"/>
              </w:rPr>
            </w:pPr>
            <w:r>
              <w:rPr>
                <w:rFonts w:ascii="Arial" w:cs="Arial" w:eastAsia="Arial" w:hAnsi="Arial"/>
                <w:sz w:val="16"/>
                <w:szCs w:val="16"/>
                <w:b w:val="1"/>
                <w:bCs w:val="1"/>
                <w:color w:val="auto"/>
              </w:rPr>
              <w:t>March 31,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00" w:type="dxa"/>
            <w:vAlign w:val="bottom"/>
            <w:tcBorders>
              <w:top w:val="single" w:sz="8" w:color="auto"/>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0"/>
        </w:trPr>
        <w:tc>
          <w:tcPr>
            <w:tcW w:w="6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12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4,311,291</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w w:val="99"/>
              </w:rPr>
              <w:t>2,586,626</w:t>
            </w:r>
          </w:p>
        </w:tc>
        <w:tc>
          <w:tcPr>
            <w:tcW w:w="0" w:type="dxa"/>
            <w:vAlign w:val="bottom"/>
          </w:tcPr>
          <w:p>
            <w:pPr>
              <w:spacing w:after="0"/>
              <w:rPr>
                <w:sz w:val="1"/>
                <w:szCs w:val="1"/>
                <w:color w:val="auto"/>
              </w:rPr>
            </w:pPr>
          </w:p>
        </w:tc>
      </w:tr>
      <w:tr>
        <w:trPr>
          <w:trHeight w:val="270"/>
        </w:trPr>
        <w:tc>
          <w:tcPr>
            <w:tcW w:w="6620" w:type="dxa"/>
            <w:vAlign w:val="bottom"/>
            <w:tcBorders>
              <w:bottom w:val="single" w:sz="8" w:color="CFF0FC"/>
            </w:tcBorders>
            <w:gridSpan w:val="2"/>
          </w:tcPr>
          <w:p>
            <w:pPr>
              <w:ind w:left="20"/>
              <w:spacing w:after="0"/>
              <w:rPr>
                <w:sz w:val="20"/>
                <w:szCs w:val="20"/>
                <w:color w:val="auto"/>
              </w:rPr>
            </w:pPr>
            <w:r>
              <w:rPr>
                <w:rFonts w:ascii="Arial" w:cs="Arial" w:eastAsia="Arial" w:hAnsi="Arial"/>
                <w:sz w:val="18"/>
                <w:szCs w:val="18"/>
                <w:color w:val="auto"/>
              </w:rPr>
              <w:t>Warrants</w:t>
            </w: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1,856,143</w:t>
            </w:r>
          </w:p>
        </w:tc>
        <w:tc>
          <w:tcPr>
            <w:tcW w:w="14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99"/>
              </w:rPr>
              <w:t>2,034,643</w:t>
            </w:r>
          </w:p>
        </w:tc>
        <w:tc>
          <w:tcPr>
            <w:tcW w:w="0" w:type="dxa"/>
            <w:vAlign w:val="bottom"/>
          </w:tcPr>
          <w:p>
            <w:pPr>
              <w:spacing w:after="0"/>
              <w:rPr>
                <w:sz w:val="1"/>
                <w:szCs w:val="1"/>
                <w:color w:val="auto"/>
              </w:rPr>
            </w:pPr>
          </w:p>
        </w:tc>
      </w:tr>
      <w:tr>
        <w:trPr>
          <w:trHeight w:val="248"/>
        </w:trPr>
        <w:tc>
          <w:tcPr>
            <w:tcW w:w="66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6,167,434</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99"/>
              </w:rPr>
              <w:t>4,621,269</w:t>
            </w:r>
          </w:p>
        </w:tc>
        <w:tc>
          <w:tcPr>
            <w:tcW w:w="0" w:type="dxa"/>
            <w:vAlign w:val="bottom"/>
          </w:tcPr>
          <w:p>
            <w:pPr>
              <w:spacing w:after="0"/>
              <w:rPr>
                <w:sz w:val="1"/>
                <w:szCs w:val="1"/>
                <w:color w:val="auto"/>
              </w:rPr>
            </w:pPr>
          </w:p>
        </w:tc>
      </w:tr>
      <w:tr>
        <w:trPr>
          <w:trHeight w:val="20"/>
        </w:trPr>
        <w:tc>
          <w:tcPr>
            <w:tcW w:w="65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SUBSEQUENT EVENTS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ATM Sales Agreement</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April 2021, the Company entered into a sales agreement with SVB Leerink LLC to sell shares of its common stock from time to time through an ATM equity offering program under which SVB Leerink acts as the Company's agent. Under the sales agreement, the Company may issue and sell up to $50.0 million of shares of its common stock. The Company agreed to pay a commission equal to 3% of the gross proceeds of any common stock sold under the agreement, plus certain legal expenses. Any shares of the Company's common stock sold under the agreement will be issued pursuant to the Company's shelf registration statement on Form S-3 (File No. 333-254862) and the base prospectus included therein, originally filed with the SEC on March 30, 2021, and declared effective on April 7, 2021, and the prospectus supplement dated April 7, 2021 filed with the SEC on April 8, 2021.</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Common Stock</w:t>
      </w:r>
    </w:p>
    <w:p>
      <w:pPr>
        <w:spacing w:after="0" w:line="274"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Between April 1, 2021 and May 10, 2021, the Company sold an aggregate of approximately 1.8 million shares of common stock under its ATM equity offering program and its equity line for aggregate net proceeds of approximately $2.6 million.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in conjunction with our unaudited condensed consolidated financial statements and notes thereto included in this Quarterly Report on Form 10-Q and our audited financial statements and notes thereto for the year ended December 31, 2020 included in our Annual Report on Form 10-K for the year ended December 31, 2020, or our 2020 10-K, filed with the Securities and Exchange Commission, or SEC, on March 30, 2021. Past operating results are not necessarily indicative of results that may occur in future periods.</w:t>
      </w:r>
    </w:p>
    <w:p>
      <w:pPr>
        <w:spacing w:after="0" w:line="7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The following discussion includes forward-looking statements. See “CAUTIONARY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Risk Factors of our 2020 10-K, and in our subsequent filings with the SEC, including any discussed in Part II, Item 1A of this report under the heading “Risk Factors,” which are incorporated herein by reference.</w:t>
      </w:r>
    </w:p>
    <w:p>
      <w:pPr>
        <w:spacing w:after="0" w:line="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this report, “we,” “us,” “our,” “Daré” or the “Company” refer collectively to Daré Bioscience, Inc. and its wholly owned subsidiaries, unless otherwise stated or the context otherwise requires. 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Daré Bioscience</w:t>
      </w:r>
      <w:r>
        <w:rPr>
          <w:rFonts w:ascii="Arial" w:cs="Arial" w:eastAsia="Arial" w:hAnsi="Arial"/>
          <w:sz w:val="16"/>
          <w:szCs w:val="16"/>
          <w:color w:val="auto"/>
        </w:rPr>
        <w:t>®</w:t>
      </w:r>
      <w:r>
        <w:rPr>
          <w:rFonts w:ascii="Arial" w:cs="Arial" w:eastAsia="Arial" w:hAnsi="Arial"/>
          <w:sz w:val="18"/>
          <w:szCs w:val="18"/>
          <w:color w:val="auto"/>
        </w:rPr>
        <w:t xml:space="preserve"> is a registered trademark of Daré Bioscience, Inc. Ovaprene</w:t>
      </w:r>
      <w:r>
        <w:rPr>
          <w:rFonts w:ascii="Arial" w:cs="Arial" w:eastAsia="Arial" w:hAnsi="Arial"/>
          <w:sz w:val="16"/>
          <w:szCs w:val="16"/>
          <w:color w:val="auto"/>
        </w:rPr>
        <w:t>®</w:t>
      </w:r>
      <w:r>
        <w:rPr>
          <w:rFonts w:ascii="Arial" w:cs="Arial" w:eastAsia="Arial" w:hAnsi="Arial"/>
          <w:sz w:val="18"/>
          <w:szCs w:val="18"/>
          <w:color w:val="auto"/>
        </w:rPr>
        <w:t xml:space="preserve"> is a registered trademark licensed to Daré Bioscience, Inc. All other trademarks, service marks or trade names appearing in this report are the property of their respective owners. Use or display by us of other parties’ trademarks, service marks or trade names is not intended to and does not imply a relationship with, or endorsements or sponsorship of, us by the trademark, service mark or trade name owners.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a clinical-stage biopharmaceutical company committed to advancing innovative products for women’s health. We are driven by a mission to identify, develop and bring to market a diverse portfolio of differentiated therapies that expand treatment options, improve outcomes and facilitate convenience for women, primarily in the areas of contraception, vaginal health, sexual health and fertility. Our business strategy is to in-license or otherwise acquire the rights to differentiated product candidates in our areas of focus, some of which have existing clinical proof-of-concept data, to take those candidates through mid to late-stage clinical development, and to establish and leverage strategic partnerships to achieve commercialization. We and our wholly owned subsidiaries operate in one business segment.</w:t>
      </w:r>
    </w:p>
    <w:p>
      <w:pPr>
        <w:spacing w:after="0" w:line="1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Since July 2017, we have assembled a portfolio of clinical-stage and pre-clinical-stage candidates. While we will continue to assess opportunities to expand our portfolio, our current focus is on advancing our existing product candidates through mid and late stages of clinical development or approval. Our portfolio includes three product candidates in advanced clinical development:</w:t>
      </w:r>
    </w:p>
    <w:p>
      <w:pPr>
        <w:spacing w:after="0" w:line="139" w:lineRule="exact"/>
        <w:rPr>
          <w:sz w:val="20"/>
          <w:szCs w:val="20"/>
          <w:color w:val="auto"/>
        </w:rPr>
      </w:pPr>
    </w:p>
    <w:p>
      <w:pPr>
        <w:ind w:left="1300" w:right="20" w:hanging="320"/>
        <w:spacing w:after="0" w:line="287" w:lineRule="auto"/>
        <w:tabs>
          <w:tab w:leader="none" w:pos="1295"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DARE-BV1</w:t>
      </w:r>
      <w:r>
        <w:rPr>
          <w:rFonts w:ascii="Arial" w:cs="Arial" w:eastAsia="Arial" w:hAnsi="Arial"/>
          <w:sz w:val="18"/>
          <w:szCs w:val="18"/>
          <w:color w:val="auto"/>
        </w:rPr>
        <w:t>, a novel thermosetting bioadhesive hydrogel formulated with clindamycin phosphate 2% to be administered in a</w:t>
      </w:r>
      <w:r>
        <w:rPr>
          <w:rFonts w:ascii="Arial" w:cs="Arial" w:eastAsia="Arial" w:hAnsi="Arial"/>
          <w:sz w:val="18"/>
          <w:szCs w:val="18"/>
          <w:b w:val="1"/>
          <w:bCs w:val="1"/>
          <w:color w:val="auto"/>
        </w:rPr>
        <w:t xml:space="preserve"> </w:t>
      </w:r>
      <w:r>
        <w:rPr>
          <w:rFonts w:ascii="Arial" w:cs="Arial" w:eastAsia="Arial" w:hAnsi="Arial"/>
          <w:sz w:val="18"/>
          <w:szCs w:val="18"/>
          <w:color w:val="auto"/>
        </w:rPr>
        <w:t>single vaginally delivered application, as a first line treatment for bacterial vaginosis;</w:t>
      </w:r>
    </w:p>
    <w:p>
      <w:pPr>
        <w:spacing w:after="0" w:line="44" w:lineRule="exact"/>
        <w:rPr>
          <w:rFonts w:ascii="Arial" w:cs="Arial" w:eastAsia="Arial" w:hAnsi="Arial"/>
          <w:sz w:val="18"/>
          <w:szCs w:val="18"/>
          <w:b w:val="1"/>
          <w:bCs w:val="1"/>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Ovaprene®</w:t>
      </w:r>
      <w:r>
        <w:rPr>
          <w:rFonts w:ascii="Arial" w:cs="Arial" w:eastAsia="Arial" w:hAnsi="Arial"/>
          <w:sz w:val="18"/>
          <w:szCs w:val="18"/>
          <w:color w:val="auto"/>
        </w:rPr>
        <w:t>, a hormone-free, monthly vaginal contraceptive; and</w:t>
      </w:r>
    </w:p>
    <w:p>
      <w:pPr>
        <w:spacing w:after="0" w:line="117" w:lineRule="exact"/>
        <w:rPr>
          <w:rFonts w:ascii="Arial" w:cs="Arial" w:eastAsia="Arial" w:hAnsi="Arial"/>
          <w:sz w:val="18"/>
          <w:szCs w:val="18"/>
          <w:color w:val="auto"/>
        </w:rPr>
      </w:pPr>
    </w:p>
    <w:p>
      <w:pPr>
        <w:ind w:left="1300" w:right="20" w:hanging="320"/>
        <w:spacing w:after="0" w:line="287"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Sildenafil Cream, 3.6%</w:t>
      </w:r>
      <w:r>
        <w:rPr>
          <w:rFonts w:ascii="Arial" w:cs="Arial" w:eastAsia="Arial" w:hAnsi="Arial"/>
          <w:sz w:val="18"/>
          <w:szCs w:val="18"/>
          <w:color w:val="auto"/>
        </w:rPr>
        <w:t>, a proprietary cream formulation of sildenafil for topical administration to the vulva and vagina for</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female sexual arousal disorder, or FSAD.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portfolio also includes three product candidates in Phase 1 clinical development or that we believe are Phase 1-ready:</w:t>
      </w:r>
    </w:p>
    <w:p>
      <w:pPr>
        <w:spacing w:after="0" w:line="203" w:lineRule="exact"/>
        <w:rPr>
          <w:sz w:val="20"/>
          <w:szCs w:val="20"/>
          <w:color w:val="auto"/>
        </w:rPr>
      </w:pPr>
    </w:p>
    <w:p>
      <w:pPr>
        <w:ind w:left="1300" w:right="20" w:hanging="320"/>
        <w:spacing w:after="0" w:line="287" w:lineRule="auto"/>
        <w:tabs>
          <w:tab w:leader="none" w:pos="129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DARE-HRT1</w:t>
      </w:r>
      <w:r>
        <w:rPr>
          <w:rFonts w:ascii="Arial" w:cs="Arial" w:eastAsia="Arial" w:hAnsi="Arial"/>
          <w:sz w:val="18"/>
          <w:szCs w:val="18"/>
          <w:color w:val="auto"/>
        </w:rPr>
        <w:t>, a combination bio-identical estradiol and progesterone intravaginal ring, or IVR,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menopausal symptoms, including vasomotor symptoms, as part of a hormone therapy following menopause;</w:t>
      </w:r>
    </w:p>
    <w:p>
      <w:pPr>
        <w:spacing w:after="0" w:line="112" w:lineRule="exact"/>
        <w:rPr>
          <w:rFonts w:ascii="Arial" w:cs="Arial" w:eastAsia="Arial" w:hAnsi="Arial"/>
          <w:sz w:val="18"/>
          <w:szCs w:val="18"/>
          <w:b w:val="1"/>
          <w:bCs w:val="1"/>
          <w:color w:val="auto"/>
        </w:rPr>
      </w:pPr>
    </w:p>
    <w:p>
      <w:pPr>
        <w:ind w:left="1300" w:hanging="320"/>
        <w:spacing w:after="0" w:line="287"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DARE-FRT1</w:t>
      </w:r>
      <w:r>
        <w:rPr>
          <w:rFonts w:ascii="Arial" w:cs="Arial" w:eastAsia="Arial" w:hAnsi="Arial"/>
          <w:sz w:val="18"/>
          <w:szCs w:val="18"/>
          <w:color w:val="auto"/>
        </w:rPr>
        <w:t>, an intravaginal ring containing bio-identical progesterone for the prevention of preterm birth and broader luteal</w:t>
      </w:r>
      <w:r>
        <w:rPr>
          <w:rFonts w:ascii="Arial" w:cs="Arial" w:eastAsia="Arial" w:hAnsi="Arial"/>
          <w:sz w:val="18"/>
          <w:szCs w:val="18"/>
          <w:b w:val="1"/>
          <w:bCs w:val="1"/>
          <w:color w:val="auto"/>
        </w:rPr>
        <w:t xml:space="preserve"> </w:t>
      </w:r>
      <w:r>
        <w:rPr>
          <w:rFonts w:ascii="Arial" w:cs="Arial" w:eastAsia="Arial" w:hAnsi="Arial"/>
          <w:sz w:val="18"/>
          <w:szCs w:val="18"/>
          <w:color w:val="auto"/>
        </w:rPr>
        <w:t>phase support as part of an in vitro fertilization treatment plan; and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8" w:name="page29"/>
    <w:bookmarkEnd w:id="28"/>
    <w:p>
      <w:pPr>
        <w:ind w:left="1300" w:hanging="320"/>
        <w:spacing w:after="0" w:line="287"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DARE-VVA1</w:t>
      </w:r>
      <w:r>
        <w:rPr>
          <w:rFonts w:ascii="Arial" w:cs="Arial" w:eastAsia="Arial" w:hAnsi="Arial"/>
          <w:sz w:val="18"/>
          <w:szCs w:val="18"/>
          <w:color w:val="auto"/>
        </w:rPr>
        <w:t>, a vaginally delivered formulation of tamoxifen to treat vulvar vaginal atrophy in patients with hormone-receptor</w:t>
      </w:r>
      <w:r>
        <w:rPr>
          <w:rFonts w:ascii="Arial" w:cs="Arial" w:eastAsia="Arial" w:hAnsi="Arial"/>
          <w:sz w:val="18"/>
          <w:szCs w:val="18"/>
          <w:b w:val="1"/>
          <w:bCs w:val="1"/>
          <w:color w:val="auto"/>
        </w:rPr>
        <w:t xml:space="preserve"> </w:t>
      </w:r>
      <w:r>
        <w:rPr>
          <w:rFonts w:ascii="Arial" w:cs="Arial" w:eastAsia="Arial" w:hAnsi="Arial"/>
          <w:sz w:val="18"/>
          <w:szCs w:val="18"/>
          <w:color w:val="auto"/>
        </w:rPr>
        <w:t>positive breast cancer.</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our portfolio includes these pre-clinical stage product candidates:</w:t>
      </w:r>
    </w:p>
    <w:p>
      <w:pPr>
        <w:spacing w:after="0" w:line="176" w:lineRule="exact"/>
        <w:rPr>
          <w:sz w:val="20"/>
          <w:szCs w:val="20"/>
          <w:color w:val="auto"/>
        </w:rPr>
      </w:pPr>
    </w:p>
    <w:p>
      <w:pPr>
        <w:ind w:left="1300" w:hanging="320"/>
        <w:spacing w:after="0" w:line="287"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DARE-LARC1</w:t>
      </w:r>
      <w:r>
        <w:rPr>
          <w:rFonts w:ascii="Arial" w:cs="Arial" w:eastAsia="Arial" w:hAnsi="Arial"/>
          <w:sz w:val="18"/>
          <w:szCs w:val="18"/>
          <w:color w:val="auto"/>
        </w:rPr>
        <w:t>, a combination product designed to provide long-acting, reversible contraception comprising an implantable,</w:t>
      </w:r>
      <w:r>
        <w:rPr>
          <w:rFonts w:ascii="Arial" w:cs="Arial" w:eastAsia="Arial" w:hAnsi="Arial"/>
          <w:sz w:val="18"/>
          <w:szCs w:val="18"/>
          <w:b w:val="1"/>
          <w:bCs w:val="1"/>
          <w:color w:val="auto"/>
        </w:rPr>
        <w:t xml:space="preserve"> </w:t>
      </w:r>
      <w:r>
        <w:rPr>
          <w:rFonts w:ascii="Arial" w:cs="Arial" w:eastAsia="Arial" w:hAnsi="Arial"/>
          <w:sz w:val="18"/>
          <w:szCs w:val="18"/>
          <w:color w:val="auto"/>
        </w:rPr>
        <w:t>user-controlled wireless drug delivery system and levonorgestrel;</w:t>
      </w:r>
    </w:p>
    <w:p>
      <w:pPr>
        <w:spacing w:after="0" w:line="112" w:lineRule="exact"/>
        <w:rPr>
          <w:rFonts w:ascii="Arial" w:cs="Arial" w:eastAsia="Arial" w:hAnsi="Arial"/>
          <w:sz w:val="18"/>
          <w:szCs w:val="18"/>
          <w:color w:val="auto"/>
        </w:rPr>
      </w:pPr>
    </w:p>
    <w:p>
      <w:pPr>
        <w:ind w:left="1300" w:right="20" w:hanging="320"/>
        <w:spacing w:after="0" w:line="287"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ORB-204 and ORB-214</w:t>
      </w:r>
      <w:r>
        <w:rPr>
          <w:rFonts w:ascii="Arial" w:cs="Arial" w:eastAsia="Arial" w:hAnsi="Arial"/>
          <w:sz w:val="18"/>
          <w:szCs w:val="18"/>
          <w:color w:val="auto"/>
        </w:rPr>
        <w:t>, injectable formulations of etonogestrel designed to provide contraception over 6-month and 12-month periods, respectively; and</w:t>
      </w:r>
    </w:p>
    <w:p>
      <w:pPr>
        <w:spacing w:after="0" w:line="112" w:lineRule="exact"/>
        <w:rPr>
          <w:rFonts w:ascii="Arial" w:cs="Arial" w:eastAsia="Arial" w:hAnsi="Arial"/>
          <w:sz w:val="18"/>
          <w:szCs w:val="18"/>
          <w:color w:val="auto"/>
        </w:rPr>
      </w:pPr>
    </w:p>
    <w:p>
      <w:pPr>
        <w:ind w:left="1300" w:hanging="320"/>
        <w:spacing w:after="0" w:line="287"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DARE-RH1</w:t>
      </w:r>
      <w:r>
        <w:rPr>
          <w:rFonts w:ascii="Arial" w:cs="Arial" w:eastAsia="Arial" w:hAnsi="Arial"/>
          <w:sz w:val="18"/>
          <w:szCs w:val="18"/>
          <w:color w:val="auto"/>
        </w:rPr>
        <w:t>, a novel approach to non-hormonal contraception for both men and women by targeting the CatSper ion</w:t>
      </w:r>
      <w:r>
        <w:rPr>
          <w:rFonts w:ascii="Arial" w:cs="Arial" w:eastAsia="Arial" w:hAnsi="Arial"/>
          <w:sz w:val="18"/>
          <w:szCs w:val="18"/>
          <w:b w:val="1"/>
          <w:bCs w:val="1"/>
          <w:color w:val="auto"/>
        </w:rPr>
        <w:t xml:space="preserve"> </w:t>
      </w:r>
      <w:r>
        <w:rPr>
          <w:rFonts w:ascii="Arial" w:cs="Arial" w:eastAsia="Arial" w:hAnsi="Arial"/>
          <w:sz w:val="18"/>
          <w:szCs w:val="18"/>
          <w:color w:val="auto"/>
        </w:rPr>
        <w:t>channel.</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primary operations have consisted of, and are expected to continue to consist primarily of, research and development activities to advance our portfolio of product candidates through clinical development and regulatory approval. We have focused on the advancement of DARE-BV1, Ovaprene and Sildenafil Cream, 3.6%, and plan to continue to focus our resources on these product candidates for the remainder of 2021 and in 2022. In the first quarter of 2021, we also had significant research and development expenses for our DARE-LARC1 program, substantially all of which were supported by a grant from the Bill &amp; Melinda Gates Foundation.</w:t>
      </w:r>
    </w:p>
    <w:p>
      <w:pPr>
        <w:spacing w:after="0" w:line="16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To date, we have not obtained any regulatory approvals for any of our product candidates, commercialized any of our product candidates or generated any revenue. We are subject to several risks common to clinical-stage biopharmaceutical companies, including dependence on key individuals, competition from other companies, the need to develop commercially viable products in a timely and cost-effective manner, and the need to obtain adequate additional capital to fund the development of product candidates. We are also subject to several risks common to other companies in the industry, including rapid technology change, regulatory approval of products, uncertainty of market acceptance of products, competition from substitute products and larger companies, compliance with government regulations, protection of proprietary technology, dependence on third parties, and product liability.</w:t>
      </w:r>
    </w:p>
    <w:p>
      <w:pPr>
        <w:spacing w:after="0" w:line="1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 xml:space="preserve">The effect of the COVID-19 pandemic and efforts to reduce the spread of COVID-19 remain an evolving and uncertain risk to our business, operating results, financial condition and stock price. Global vaccination efforts to control the pandemic have been underway for the past several months and the number of vaccinated adults in the U.S. is encouraging. However, uncertainty remains regarding the extent, availability and length of time to vaccinate a meaningful portion of the population, as well as the degree of efficacy of such vaccination efforts on the trajectory of the pandemic, including in light of the multiple variants of the virus that causes COVID-19 circulating globally and within the U.S. Challenges to vaccination efforts and other causes of virus spread may require local, state and federal and foreign governments to reimpose restrictions and/or shutdowns in various geographies. To date, neither government-imposed restrictions or other governmental actions nor our remote working arrangements or those of our third-party service providers and contract manufacturers have materially affected our ability to operate our business, and we have been able to advance our portfolio of product candidates in meaningful ways during the pandemic, including by commencing and completing a Phase 3 clinical trial of DARE-BV1 during 2020. However, the effects of the pandemic could have a material adverse impact on our business, operating results and financial condition, including, without limitation, by adversely impacting our ability to raise capital when needed or on terms favorable or acceptable to us, and by increasing the anticipated aggregate costs and timelines for the development and marketing approval of our product candidates. For example, as it relates to the cost and timelines for our ongoing and planned clinical trials, a spike in hospitalizations in the U.S. due to COVID-19 could cause healthcare industry resources to be diverted from participating in research and development activities for investigational products unrelated to the COVID-19 pandemic or other life threatening diseases and conditions, which could delay the commencement and/or completion of clinical trials for product candidates such as Sildenafil Cream, 3.6% and Ovaprene. Conversely, continued re-opening of the U.S. and global economies may delay enrollment in clinical trials for Sildenafil Cream, 3.6% and Ovaprene as individuals gain more freedom to travel and participate in other activities that have not been available to them since the beginning of the pandemic and may be less inclined to participate in or complete studies that require multiple clinic visits. See also the risk factor titled, </w:t>
      </w:r>
      <w:r>
        <w:rPr>
          <w:rFonts w:ascii="Arial" w:cs="Arial" w:eastAsia="Arial" w:hAnsi="Arial"/>
          <w:sz w:val="18"/>
          <w:szCs w:val="18"/>
          <w:i w:val="1"/>
          <w:iCs w:val="1"/>
          <w:color w:val="auto"/>
        </w:rPr>
        <w:t>The COVID-19 pandemic and efforts to reduce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spread of COVID-19 could negatively impact our business, including by increasing the cost and timelines for our clinical development programs, </w:t>
      </w:r>
      <w:r>
        <w:rPr>
          <w:rFonts w:ascii="Arial" w:cs="Arial" w:eastAsia="Arial" w:hAnsi="Arial"/>
          <w:sz w:val="18"/>
          <w:szCs w:val="18"/>
          <w:color w:val="auto"/>
        </w:rPr>
        <w:t>in Part I, Item 1A. Risk Factors of our 2020 10-K</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Clinical Stage Product Candidates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DARE-BV1</w:t>
      </w:r>
    </w:p>
    <w:p>
      <w:pPr>
        <w:spacing w:after="0" w:line="2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December 2020, we announced positive topline results from our DARE-BVFREE Phase 3 clinical trial of DARE-BV1 for the treatment of bacterial vaginosis. The study met its primary endpoint, demonstrating that a single administration of DARE-BV1 was superior to placebo as a primary therapeutic intervention for women diagnosed with bacterial vaginosis. We plan to submit a new drug application, or NDA, to the FDA for DARE-BV1 for the treatment of bacterial vaginosis by the end of the second quarter of 2021. We have requested an application fee waiver for the NDA submission, using the small business eligibility criteria available under the Prescription Drug User Fee Act, or PDUFA, and anticipate that the FDA will grant that fee waiver. We intend to request priority review status for the NDA upon submission, which, if granted, could allow for a review period of six months from the FDA's receipt of our NDA submission, rather than the 10-month review period for non-priority submissions. Assuming we submit our DARE-BV1 NDA in the second quarter of 2021, the FDA grants priority review and sets a goal date for a decision, or a PDUFA date, within approximately six months from the NDA submission date, and the FDA approves the NDA in 2021, we would expect a commercial launch of DARE-BV1 in the United States in the first half of 2022. Ongoing strategic discussions and other activities to support a robust market introduction of the product in 2022, if approved, are underway, and we intend to finalize and announce the commercialization strategy for DARE-BV1 in the U.S. this year. Commercialization arrangements for DARE-BV1 may include granting pharmaceutical companies with other commercial products in women's health out-licenses to exclusively market, sell and distribute the product, if approved, in specific geographies, engaging commercial sales organizations to utilize their internal sales organizations and other commercial functions for market access, marketing, distribution, and other related services, or assembling a hybrid of these potential options to co-promote the product.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Ovaprene</w:t>
      </w:r>
    </w:p>
    <w:p>
      <w:pPr>
        <w:spacing w:after="0" w:line="22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Based on the positive results of our postcoital test (PCT) clinical trial of Ovaprene, and with the support of Bayer under the commercial license agreement we executed in January 2020, we are conducting activities to support submission of an Investigational Device Exemption application, or IDE, to the FDA in the fourth quarter of 2021 for a pivotal clinical study of Ovaprene. We are designing the study to evaluate the safety and efficacy of Ovaprene to prevent pregnancy when used over a period of at least six months and up to approximately 12 months by approximately 250 women. We will seek to confirm alignment with the FDA on the study's design prior to commencement. We believe that the development activities we are conducting prior to commencement of the planned pivotal study will continue to advance this program and enable a study start by the first quarter of 2022 and a six-month safety and efficacy data readout by year-end 2022. If the planned pivotal clinical study is successful, we expect the study's data to support a pre-market approval submission to the FDA, as well as regulatory filings in Europe and other countries worldwide, to allow for marketing approvals of Ovaprene.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Sildenafil Cream, 3.6%</w:t>
      </w:r>
    </w:p>
    <w:p>
      <w:pPr>
        <w:spacing w:after="0" w:line="2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March 2021, we announced initiation of our Phase 2b RESPOND clinical trial of Sildenafil Cream, 3.6% in women with FSAD. During the Phase 2b RESPOND clinical trial, subjects will use Sildenafil Cream, 3.6% and placebo cream in their home setting and will document genital arousal symptoms and distress using patient reported outcome instruments. The primary efficacy endpoint of the study is a composite endpoint that includes patient-reported improvement in genital sensations of arousal and reduction in distress associated with FSAD. The Phase 2b RESPOND trial is designed to evaluate Sildenafil Cream, 3.6% compared to placebo cream over 12 weeks of dosing following both a non-drug and placebo run-in period. The study is expected to randomize 400 to 590 subjects into the double-blind dosing period at 40 to 50 clinical sites in the U.S. to ensure a total of 300 (150:150) to 440 (220:220) subjects complete the 12-week double-blind dosing period. The final size of the study will be determined by a single interim analysis for unblinded sample size re-estimation, based on the study’s adaptive design. An adaptive design implemented in accordance with the FDA’s Guidance for Industry on adaptive designs for clinical trials of drugs mitigates the risk of the study being underpowered if the true treatment effect and variability are significantly different from estimates based on published data but are still clinically meaningful. We are targeting reporting topline data from the clinical trial by year-end 2021. Our target timeline for topline data readout of the Phase 2b RESPOND clinical trial assumes that enrollment proceeds successfully and that an increase in sample size above 400 randomized subjects is not required. We anticipate that the aggregate costs of the Phase 2b RESPOND clinical trial of Sildenafil Cream, 3.6% will be between approximately $15.0 to $17.0 million, not all of which will be payable in fiscal 2021.</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u w:val="single" w:color="auto"/>
          <w:color w:val="auto"/>
        </w:rPr>
        <w:t>DARE-HRT1</w:t>
      </w:r>
    </w:p>
    <w:p>
      <w:pPr>
        <w:spacing w:after="0" w:line="22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July 2020, our wholly-owned Australian subsidiary commenced a Phase 1 open-label, three-arm, parallel group clinical study of DARE-HRT1 in Australia to evaluate the pharmacokinetics, or PK, and safety of DARE-HRT1 in approximately 30 healthy, post-menopausal women, at specialty women's health sites in Australia. The primary objective of the study is to describe the PK parameters of two different dose combinations (estradiol 80 µg/progesterone 4 mg IVR and estradiol 160 µg/progesterone 8 mg IVR) over 28 days. Secondary endpoints of the study include assessing the safety and tolerability of DARE-HRT1 and comparing the exposure of estradiol, estrone, and progesterone of DARE-HRT1 over 28 days against a daily combination of oral estrogen (Estrofem®) and oral progesterone (Prometrium®). We completed enrollment in the study in March 2021 and anticipate reporting topline data from the clinical study in the second quarter of 2021.</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 xml:space="preserve">Our currently anticipated timelines and aggregate costs for the development of our product candidates could be delayed and could increase as a result of the COVID-19 pandemic. See the risk factor titled, </w:t>
      </w:r>
      <w:r>
        <w:rPr>
          <w:rFonts w:ascii="Arial" w:cs="Arial" w:eastAsia="Arial" w:hAnsi="Arial"/>
          <w:sz w:val="18"/>
          <w:szCs w:val="18"/>
          <w:i w:val="1"/>
          <w:iCs w:val="1"/>
          <w:color w:val="auto"/>
        </w:rPr>
        <w:t>The COVID-19 pandemic and efforts to reduce the spread of</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COVID-19 could negatively impact our business, including by increasing the cost and timelines for our clinical development programs, </w:t>
      </w:r>
      <w:r>
        <w:rPr>
          <w:rFonts w:ascii="Arial" w:cs="Arial" w:eastAsia="Arial" w:hAnsi="Arial"/>
          <w:sz w:val="18"/>
          <w:szCs w:val="18"/>
          <w:color w:val="auto"/>
        </w:rPr>
        <w:t>in Part</w:t>
      </w:r>
      <w:r>
        <w:rPr>
          <w:rFonts w:ascii="Arial" w:cs="Arial" w:eastAsia="Arial" w:hAnsi="Arial"/>
          <w:sz w:val="18"/>
          <w:szCs w:val="18"/>
          <w:i w:val="1"/>
          <w:iCs w:val="1"/>
          <w:color w:val="auto"/>
        </w:rPr>
        <w:t xml:space="preserve"> </w:t>
      </w:r>
      <w:r>
        <w:rPr>
          <w:rFonts w:ascii="Arial" w:cs="Arial" w:eastAsia="Arial" w:hAnsi="Arial"/>
          <w:sz w:val="18"/>
          <w:szCs w:val="18"/>
          <w:color w:val="auto"/>
        </w:rPr>
        <w:t>I, Item 1A. Risk Factors of our 2020 10-K.</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Recent Events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Commencement of Phase 2b Clinical Trial of Sildenafil Cream, 3.6%</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As discussed above, in March 2021, we announced commencement of our Phase 2b RESPOND clinical trial of Sildenafil Cream, 3.6% for the treatment of female sexual arousal disorder, and we are targeting reporting topline data by year-end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ATM Sales Agreement</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April 2021, we entered into a sales agreement, the Sales Agreement, with SVB Leerink LLC to sell shares of our common stock from time to time through an "at-the-market," or ATM, equity offering program under which SVB Leerink acts as our sales agent. Under the Sales Agreement, we may issue and sell up to $50.0 million of shares of our common stock. We have no obligation to sell any shares under the Sales Agreement, and we may suspend solicitation and offers under the Sales Agreement for any reason in our sole discretion. We agreed to pay a commission equal to 3% of the gross proceeds from sales of shares under the Sales Agreement to the sales agent, plus certain of its legal expenses. Any shares of our common stock sold under the Sales Agreement will be issued pursuant to our shelf registration statement on Form S-3 (File No. 333-254862), the base prospectus included therein, originally filed with the SEC on March 30, 2021, and declared effective on April 7, 2021 and the prospectus supplement to that prospectus, dated April 7, 2021 and filed with the SEC on April 8, 2021.</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To date we have not generated any revenue. In the future, and if we are successful in advancing our product candidates through late stages of clinical development and regulatory approval, we may generate revenue from product sales of approved products, if any, and license fees, milestone payments, research and development payments in connection with strategic partnerships, as well as royalties and commercial milestones resulting from the sale of products by partners. Our ability to generate such revenue will depend on the successful clinical development of our product candidates, the receipt of regulatory approvals to market such product candidates and the eventual successful commercialization of products. If we fail to complete the development of product candidates in a timely manner, or to receive regulatory approval for such product candidates, our ability to generate future revenue and our results of operations would be materially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Research and development expenses include research and development costs for our product candidates and transaction costs related to our acquisitions. We recognize all research and development expenses as they are incurred. Research and development expenses consist primarily of:</w:t>
      </w:r>
    </w:p>
    <w:p>
      <w:pPr>
        <w:spacing w:after="0" w:line="94" w:lineRule="exact"/>
        <w:rPr>
          <w:sz w:val="20"/>
          <w:szCs w:val="20"/>
          <w:color w:val="auto"/>
        </w:rPr>
      </w:pPr>
    </w:p>
    <w:p>
      <w:pPr>
        <w:ind w:left="1460" w:hanging="399"/>
        <w:spacing w:after="0" w:line="261" w:lineRule="auto"/>
        <w:tabs>
          <w:tab w:leader="none" w:pos="14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expenses incurred under agreements with clinical trial sites and consultants that conduct research and development and regulatory affairs activities on our behalf;</w:t>
      </w:r>
    </w:p>
    <w:p>
      <w:pPr>
        <w:spacing w:after="0" w:line="89" w:lineRule="exact"/>
        <w:rPr>
          <w:rFonts w:ascii="Arial" w:cs="Arial" w:eastAsia="Arial" w:hAnsi="Arial"/>
          <w:sz w:val="18"/>
          <w:szCs w:val="18"/>
          <w:color w:val="auto"/>
        </w:rPr>
      </w:pPr>
    </w:p>
    <w:p>
      <w:pPr>
        <w:ind w:left="1460" w:hanging="399"/>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laboratory and vendor expenses related to the execution of nonclinical studies and clinical trials;</w:t>
      </w:r>
    </w:p>
    <w:p>
      <w:pPr>
        <w:spacing w:after="0" w:line="63" w:lineRule="exact"/>
        <w:rPr>
          <w:rFonts w:ascii="Arial" w:cs="Arial" w:eastAsia="Arial" w:hAnsi="Arial"/>
          <w:sz w:val="18"/>
          <w:szCs w:val="18"/>
          <w:color w:val="auto"/>
        </w:rPr>
      </w:pPr>
    </w:p>
    <w:p>
      <w:pPr>
        <w:ind w:left="1460" w:hanging="399"/>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contract manufacturing expenses, primarily for the production of clinical supplies;</w:t>
      </w:r>
    </w:p>
    <w:p>
      <w:pPr>
        <w:spacing w:after="0" w:line="63" w:lineRule="exact"/>
        <w:rPr>
          <w:rFonts w:ascii="Arial" w:cs="Arial" w:eastAsia="Arial" w:hAnsi="Arial"/>
          <w:sz w:val="18"/>
          <w:szCs w:val="18"/>
          <w:color w:val="auto"/>
        </w:rPr>
      </w:pPr>
    </w:p>
    <w:p>
      <w:pPr>
        <w:ind w:left="1460" w:hanging="399"/>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transaction costs related to acquisitions of companies, technologies and related intellectual property, and other assets;</w:t>
      </w:r>
    </w:p>
    <w:p>
      <w:pPr>
        <w:spacing w:after="0" w:line="63" w:lineRule="exact"/>
        <w:rPr>
          <w:rFonts w:ascii="Arial" w:cs="Arial" w:eastAsia="Arial" w:hAnsi="Arial"/>
          <w:sz w:val="18"/>
          <w:szCs w:val="18"/>
          <w:color w:val="auto"/>
        </w:rPr>
      </w:pPr>
    </w:p>
    <w:p>
      <w:pPr>
        <w:ind w:left="1460" w:hanging="399"/>
        <w:spacing w:after="0" w:line="261" w:lineRule="auto"/>
        <w:tabs>
          <w:tab w:leader="none" w:pos="14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milestones payments under our in-licensing arrangements and our merger agreement with Microchips Biotech, Inc., or Microchips, that we incur, or the incurrence of which we deem probable;</w:t>
      </w:r>
    </w:p>
    <w:p>
      <w:pPr>
        <w:spacing w:after="0" w:line="35" w:lineRule="exact"/>
        <w:rPr>
          <w:rFonts w:ascii="Arial" w:cs="Arial" w:eastAsia="Arial" w:hAnsi="Arial"/>
          <w:sz w:val="18"/>
          <w:szCs w:val="18"/>
          <w:color w:val="auto"/>
        </w:rPr>
      </w:pPr>
    </w:p>
    <w:p>
      <w:pPr>
        <w:ind w:left="1460" w:hanging="399"/>
        <w:spacing w:after="0" w:line="261" w:lineRule="auto"/>
        <w:tabs>
          <w:tab w:leader="none" w:pos="14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internal costs that are associated with activities performed by our research and development organization and generally benefit multiple programs.</w:t>
      </w:r>
    </w:p>
    <w:p>
      <w:pPr>
        <w:spacing w:after="0" w:line="15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expect research and development expenses to increase in the future as we continue to invest in the development of and seek regulatory approval for our clinical-stage and Phase 1-ready product candidates and as any other potential product candidates we may develop are advanced into and through clinical trials in the pursuit of regulatory approvals. Such activities will require a significant increase in investment in regulatory support, clinical supplies, inventory build-up related costs, and the payment of success-based milestones to licensors. In addition, we continue to evaluate opportunities to acquire or in-license other product candidates and technologies, which may result in higher research and development expenses due to, among other factors, license fee and/or milestone payments.</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Conducting clinical trials necessary to obtain regulatory approval is costly and time consuming. We may not obtain regulatory approval for any product candidate on a timely or cost-effective basis or at all. The probability of success of our product candidates may be affected by numerous factors, including clinical results and data, competition, intellectual property rights, manufacturing capability and commercial viability. As a result, we cannot accurately determine the duration and completion costs of development projects or when and to what extent we will generate revenue from the commercialization of any of our product candidates.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License fees consist of up-front license fees and annual license fees due under our in-licensing arrangements.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General and administrative expenses consist of personnel costs, facility expenses, expenses for outside professional services, including legal, audit and accounting services. Personnel costs consist of salaries, benefits and stock-based compensation. Facility expenses consist of rent and other related costs.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Management’s discussion and analysis of financial condition and results of operations is based on our interim condensed consolidated financial statements, which have been prepared in accordance with accounting principles generally accepted in the United States, or GAAP. Preparing these financial statements requires management to make estimates and judgments that affect the reported amounts of assets, liabilities and expenses, and related disclosures. On an ongoing basis, we evaluate these estimates and judgments. We base our estimates on historical experience and on various assumptions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For a description of critical accounting policies that affect our significant judgments and estimates used in the preparation of our unaudited condensed consolidated interim financial statements, refer to Item 7 in Management’s Discussion and Analysis of Financial Condition and Results of Operations and Note 1 to our financial statements contained in our 2020 10-K, and Note 2 to our unaudited condensed consolidated financial statements contained in this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2021 and 2020 (Unaudited)</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following table summarizes our condensed consolidated results of operations for the periods indicated, together with the changes in those items in dollars:</w:t>
      </w:r>
    </w:p>
    <w:p>
      <w:pPr>
        <w:spacing w:after="0" w:line="239" w:lineRule="exact"/>
        <w:rPr>
          <w:sz w:val="20"/>
          <w:szCs w:val="20"/>
          <w:color w:val="auto"/>
        </w:rPr>
      </w:pPr>
    </w:p>
    <w:tbl>
      <w:tblPr>
        <w:tblLayout w:type="fixed"/>
        <w:tblInd w:w="92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6"/>
                <w:szCs w:val="16"/>
                <w:color w:val="auto"/>
              </w:rPr>
            </w:pPr>
          </w:p>
        </w:tc>
        <w:tc>
          <w:tcPr>
            <w:tcW w:w="110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196"/>
        </w:trPr>
        <w:tc>
          <w:tcPr>
            <w:tcW w:w="50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w:t>
            </w:r>
          </w:p>
        </w:tc>
      </w:tr>
      <w:tr>
        <w:trPr>
          <w:trHeight w:val="23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1,940,328</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1,861,765</w:t>
            </w:r>
          </w:p>
        </w:tc>
        <w:tc>
          <w:tcPr>
            <w:tcW w:w="14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78,563</w:t>
            </w: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5,728,206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2,379,804</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3,348,402</w:t>
            </w:r>
          </w:p>
        </w:tc>
      </w:tr>
      <w:tr>
        <w:trPr>
          <w:trHeight w:val="270"/>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License fees</w:t>
            </w: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25,000</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12,500</w:t>
            </w: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r>
      <w:tr>
        <w:trPr>
          <w:trHeight w:val="250"/>
        </w:trPr>
        <w:tc>
          <w:tcPr>
            <w:tcW w:w="5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7,693,534</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4,254,069</w:t>
            </w: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3,439,465</w:t>
            </w:r>
          </w:p>
        </w:tc>
      </w:tr>
      <w:tr>
        <w:trPr>
          <w:trHeight w:val="250"/>
        </w:trPr>
        <w:tc>
          <w:tcPr>
            <w:tcW w:w="50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(7,693,534)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(4,254,069)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(3,439,465)</w:t>
            </w:r>
          </w:p>
        </w:tc>
      </w:tr>
      <w:tr>
        <w:trPr>
          <w:trHeight w:val="27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1,821</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r>
      <w:tr>
        <w:trPr>
          <w:trHeight w:val="270"/>
        </w:trPr>
        <w:tc>
          <w:tcPr>
            <w:tcW w:w="5080" w:type="dxa"/>
            <w:vAlign w:val="bottom"/>
          </w:tcPr>
          <w:p>
            <w:pPr>
              <w:ind w:left="20"/>
              <w:spacing w:after="0"/>
              <w:rPr>
                <w:sz w:val="20"/>
                <w:szCs w:val="20"/>
                <w:color w:val="auto"/>
              </w:rPr>
            </w:pPr>
            <w:r>
              <w:rPr>
                <w:rFonts w:ascii="Arial" w:cs="Arial" w:eastAsia="Arial" w:hAnsi="Arial"/>
                <w:sz w:val="18"/>
                <w:szCs w:val="18"/>
                <w:color w:val="auto"/>
              </w:rPr>
              <w:t>Gain on extinguishment of note payable</w:t>
            </w:r>
          </w:p>
        </w:tc>
        <w:tc>
          <w:tcPr>
            <w:tcW w:w="2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369,887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369,887</w:t>
            </w:r>
          </w:p>
        </w:tc>
      </w:tr>
      <w:tr>
        <w:trPr>
          <w:trHeight w:val="250"/>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(7,323,644)</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(4,252,248)</w:t>
            </w:r>
          </w:p>
        </w:tc>
        <w:tc>
          <w:tcPr>
            <w:tcW w:w="14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(3,071,396)</w:t>
            </w:r>
          </w:p>
        </w:tc>
      </w:tr>
      <w:tr>
        <w:trPr>
          <w:trHeight w:val="210"/>
        </w:trPr>
        <w:tc>
          <w:tcPr>
            <w:tcW w:w="50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40"/>
        </w:trPr>
        <w:tc>
          <w:tcPr>
            <w:tcW w:w="5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(22,944)</w:t>
            </w:r>
          </w:p>
        </w:tc>
        <w:tc>
          <w:tcPr>
            <w:tcW w:w="1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16,103</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(7,330,485)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(4,275,192)</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(3,055,293)</w:t>
            </w:r>
          </w:p>
        </w:tc>
      </w:tr>
      <w:tr>
        <w:trPr>
          <w:trHeight w:val="21"/>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recognize any revenues for either of the three months ended March 31, 2021 or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increase of $78,563 in general and administrative expenses for the three months ended March 31, 2021 as compared to the three months ended March 31, 2020 was primarily attributable to increases in personnel costs of approximately $190,000 and in stock-based compensation expense of approximately $136,000, partially offset by decreases in expenses for professional services of approximately $253,000.</w:t>
      </w:r>
    </w:p>
    <w:p>
      <w:pPr>
        <w:spacing w:after="0" w:line="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previously reported, we expect an increase in general and administrative expenses of approximately 10% to 15% in 2021 compared to 2020, primarily due to increased personnel expenses and other general corporate overhead, and our 2021 general and administrative expenses could also include significant costs related to commercial readiness activities for DARE-BV1 depending on the type and nature of commercial partnership we establish for DARE-BV1 in the U.S., which if incurred, could increase our 2021 general and administrative expenses above our current expectation.</w:t>
      </w:r>
    </w:p>
    <w:p>
      <w:pPr>
        <w:sectPr>
          <w:pgSz w:w="11900" w:h="16838" w:orient="portrait"/>
          <w:cols w:equalWidth="0" w:num="1">
            <w:col w:w="11240"/>
          </w:cols>
          <w:pgMar w:left="320" w:top="1102"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increase of $3.3 million in research and development expenses for the three months ended March 31, 2021 as compared to the three months ended March 31, 2020 was primarily attributable to increases in costs related to development activities of approximately: (i) $2.0 million in costs related to development activities for our lead clinical-stage product candidates, primarily driven by the Sildenafil Cream, 3.6% Phase 2b RESPOND clinical trial and manufacturing and regulatory affairs activities for Ovaprene and DARE-BV1; and (ii) $1.0 million in costs related to development activities for our Phase 1 and Phase 1-ready programs, primarily DARE-HRT1.</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previously reported, we expect research and development expenses to increase significantly in 2021 as we continue to develop our product candidates and seek FDA approval for DARE-BV1, and we expect our research and development spend to vary across our fiscal quarters and that our research and development spend during the balance of 2021 will be greater than the spend in the first quarter. If we advance our programs as currently planned, our research and development expenses for 2021 could be more than double our research and development expenses for 2020. Our 2021 research and development expenses could include up to $4.5 million in milestone payments under license agreements related to certain of our product candidates payable by us to our third-party licensors and up to $1.0 million in contingent consideration and $250,000 in milestone payments under our merger agreement with Microchips, all or any portion of which we may elect to pay to the former stockholders of Microchips in shares of our common stock. The pace and extent of our research and development activities and, therefore, our research and development spend, will depend on our cash resources. In regard to Sildenafil Cream, 3.6%, we anticipate that the costs of the planned Phase 2b clinical study will be approximately $15.0 to $17.0 million, not all of which will be payable in fiscal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For the three months ended March 31, 2021 we accrued $25,000 of the $100,000 annual license maintenance fee payable in the second quarter of 2021 under our license agreement related to DARE-HRT1.</w:t>
      </w:r>
    </w:p>
    <w:p>
      <w:pPr>
        <w:spacing w:after="0" w:line="9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For the three months ended March 31, 2020 we accrued $12,500 of the $50,000 license maintenance fee payable in the second quarter of 2020 under our license agreement related to DARE-HRT1.</w:t>
      </w:r>
    </w:p>
    <w:p>
      <w:pPr>
        <w:spacing w:after="0" w:line="9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For further discussion of these license fees, see Note 3 to our unaudited condensed consolidated financial statements contained in this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gain on extinguishment of note payable</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decrease of $1,818 in other income for the three months ended March 31, 2021 as compared to the three months ended March 31, 2020 was primarily due to a decrease in interest earned on cash balances in the current period.</w:t>
      </w:r>
    </w:p>
    <w:p>
      <w:pPr>
        <w:spacing w:after="0" w:line="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January 2021, we were notified that the principal balance of our PPP loan and all accrued interest, which together totaled $369,887, was fully forgiven by the SBA. We recorded a gain on extinguishment of note payable and debt forgiveness income with respect to such loan forgiveness in the first quarter of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Operations and Future Funding Requirements</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prepared the accompanying condensed consolidated financial statements on a going concern basis, which assumes that we will realize our assets and satisfy our liabilities in the normal course of business. We have a history of losses from operations, we expect negative cash flows from our operations to continue for the foreseeable future, and we expect that our net losses will continue for at least the next several years as we develop and seek to bring to market our existing product candidates and to potentially acquire, license and develop additional product candidates. These circumstances raise substantial doubt about our ability to continue as a going concern. The accompanying condensed consolidated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spacing w:after="0" w:line="12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March 31, 2021, our accumulated deficit was approximately $78.8 million, our cash and cash equivalents were approximately $7.7 million, and our working capital was approximately $3.5 million. We incurred a loss from operations of approximately $7.3 million, and had negative cash flow from operations of approximately $8.4 million during the three months ended March 31, 2021.</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5" w:name="page36"/>
    <w:bookmarkEnd w:id="35"/>
    <w:p>
      <w:pPr>
        <w:jc w:val="both"/>
        <w:ind w:firstLine="648"/>
        <w:spacing w:after="0" w:line="252" w:lineRule="auto"/>
        <w:rPr>
          <w:sz w:val="20"/>
          <w:szCs w:val="20"/>
          <w:color w:val="auto"/>
        </w:rPr>
      </w:pPr>
      <w:r>
        <w:rPr>
          <w:rFonts w:ascii="Arial" w:cs="Arial" w:eastAsia="Arial" w:hAnsi="Arial"/>
          <w:sz w:val="18"/>
          <w:szCs w:val="18"/>
          <w:color w:val="auto"/>
        </w:rPr>
        <w:t>Our primary uses of capital are, and we expect will continue to be, staff-related expenses, the cost of clinical trials, non-clinical activities and regulatory activities related to our product candidates, costs associated with contract manufacturing services and third-party clinical research and development services, payments due under license agreements and our merger agreement with Microchips upon the successful achievement of milestones of our product candidates, legal expenses, other regulatory expenses and general overhead costs. Our future funding requirements could also include significant costs related to commercialization of our product candidates, if approved, depending on the type and nature of commercial partnerships we establish.</w:t>
      </w:r>
    </w:p>
    <w:p>
      <w:pPr>
        <w:spacing w:after="0" w:line="1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discussed above, we expect our expenses, and in particular our research and development expenses, to increase significantly in 2021 compared to 2020 as we continue to develop and seek to bring to market our product candidates, with a focus on DARE-BV1, Ovaprene and Sildenafil Cream, 3.6%.</w:t>
      </w:r>
    </w:p>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To date, we have not obtained any regulatory approvals for any of our product candidates, commercialized any of our product candidates or generated any product revenue, and we cannot anticipate if or when we will generate any revenue. We have devoted significant resources to acquiring our portfolio of product candidates and to research and development activities for our product candidates. We must obtain regulatory approvals to market and sell any of our products in the future. We will need to generate sufficient safety and efficacy data on our product candidates for them to receive regulatory approvals and to be attractive assets for potential strategic partners to license or for pharmaceutical companies to acquire, and for us to generate cash and other license fees related to such product candidates.</w:t>
      </w:r>
    </w:p>
    <w:p>
      <w:pPr>
        <w:spacing w:after="0" w:line="1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Based on our current operating plan estimates, we do not have sufficient cash to satisfy our working capital needs and other liquidity requirements over at least the next 12 months from the date of issuance of the accompanying condensed consolidated financial statements. Historically, the cash used to fund our operations has come from a variety of sources. During the three months ended March 31, 2021, we received approximately $7.4 million of net proceeds the from sales of approximately 3.3 million shares of our common stock under our ATM sales agreement, approximately $3.8 million of net proceeds from the sales of 2.4 million shares of our common stock under our equity line, and approximately $50,000 upon the exercise of warrants. Subsequent to March 31, 2021 and through May 10, 2021, we received approximately $2.6 million in aggregate net proceeds from sales of approximately 1.8 million shares of our common stock under our ATM sales agreement and our equity line.</w:t>
      </w:r>
    </w:p>
    <w:p>
      <w:pPr>
        <w:spacing w:after="0" w:line="17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will need to raise substantial additional capital to continue to fund our operations and to successfully execute our current operating plan, including the development of our product candidates. We will continue to seek to raise capital through the sale of shares of our common stock under our ATM sales agreement and our equity line, however, when we can effect such sales and the amount of shares we can sell under these agreements depends on a variety of factors to be determined by us from time to time, including, among others, market conditions, the trading price of our common stock and our determination as to the appropriate sources of funding for our operations. We are also currently evaluating a variety of capital raising options, including equity and debt financings, government or other grant funding, collaborations and strategic alliances or other similar types of arrangements to cover our operating expenses, including the development and, if approved, commercialization of our product candidates and future product candidates we may license or otherwise acquire. The amount and timing of our capital needs have been and will continue to depend highly on many factors, including the product development programs we choose to pursue and the pace and results of our clinical development efforts. If we raise capital through collaborations, strategic alliances or other similar types of arrangements, we may have to relinquish, on terms that are not favorable to us, rights to some of our technologies or product candidates we would otherwise seek to develop or commercialize.</w:t>
      </w:r>
    </w:p>
    <w:p>
      <w:pPr>
        <w:spacing w:after="0" w:line="12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There can be no assurance that capital will be available when needed or that, if available, it will be obtained on terms favorable to us and our stockholders. In addition, equity or debt financings may have a dilutive effect on the holdings of our existing stockholders, and debt financings may subject us to restrictive covenants, operational restrictions and security interests in our assets. If we cannot raise capital when needed, on favorable terms or at all, we will not be able to continue development of our product candidates, will need to reevaluate our planned operations and may need to delay, scale back or eliminate some or all of our development programs, reduce expenses, file for bankruptcy, reorganize, merge with another entity, or cease operations. If we become unable to continue as a going concern, we may have to liquidate our assets, and might realize significantly less than the values at which they are carried on our financial statements, and stockholders may lose all or part of their investment in our common stock.</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a summary of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23495</wp:posOffset>
            </wp:positionV>
            <wp:extent cx="5949315"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49315" cy="163195"/>
                    </a:xfrm>
                    <a:prstGeom prst="rect">
                      <a:avLst/>
                    </a:prstGeom>
                    <a:noFill/>
                  </pic:spPr>
                </pic:pic>
              </a:graphicData>
            </a:graphic>
          </wp:anchor>
        </w:drawing>
      </w:r>
    </w:p>
    <w:p>
      <w:pPr>
        <w:spacing w:after="0" w:line="3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Net cash provided by financing activities</w:t>
      </w:r>
    </w:p>
    <w:p>
      <w:pPr>
        <w:spacing w:after="0" w:line="5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23495</wp:posOffset>
            </wp:positionV>
            <wp:extent cx="594931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49315" cy="171450"/>
                    </a:xfrm>
                    <a:prstGeom prst="rect">
                      <a:avLst/>
                    </a:prstGeom>
                    <a:noFill/>
                  </pic:spPr>
                </pic:pic>
              </a:graphicData>
            </a:graphic>
          </wp:anchor>
        </w:drawing>
      </w:r>
    </w:p>
    <w:p>
      <w:pPr>
        <w:spacing w:after="0" w:line="30"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Net increase in cash and cash equivalents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wp:posOffset>
            </wp:positionV>
            <wp:extent cx="18173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5" w:lineRule="exact"/>
        <w:rPr>
          <w:sz w:val="20"/>
          <w:szCs w:val="20"/>
          <w:color w:val="auto"/>
        </w:rPr>
      </w:pPr>
    </w:p>
    <w:p>
      <w:pPr>
        <w:ind w:left="500"/>
        <w:spacing w:after="0"/>
        <w:tabs>
          <w:tab w:leader="none" w:pos="19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wp:posOffset>
            </wp:positionV>
            <wp:extent cx="18173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47" w:lineRule="exact"/>
        <w:rPr>
          <w:sz w:val="20"/>
          <w:szCs w:val="20"/>
          <w:color w:val="auto"/>
        </w:rPr>
      </w:pPr>
    </w:p>
    <w:p>
      <w:pPr>
        <w:ind w:left="380" w:hanging="376"/>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(8,377,015)  $   (6,597,546)</w:t>
      </w:r>
    </w:p>
    <w:p>
      <w:pPr>
        <w:spacing w:after="0" w:line="49"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11,374,540</w:t>
      </w:r>
      <w:r>
        <w:rPr>
          <w:rFonts w:ascii="Arial" w:cs="Arial" w:eastAsia="Arial" w:hAnsi="Arial"/>
          <w:sz w:val="17"/>
          <w:szCs w:val="17"/>
          <w:color w:val="auto"/>
        </w:rPr>
        <w:t>6,887,708</w:t>
      </w:r>
    </w:p>
    <w:p>
      <w:pPr>
        <w:spacing w:after="0" w:line="50" w:lineRule="exact"/>
        <w:rPr>
          <w:sz w:val="20"/>
          <w:szCs w:val="20"/>
          <w:color w:val="auto"/>
        </w:rPr>
      </w:pPr>
    </w:p>
    <w:p>
      <w:pPr>
        <w:ind w:left="740"/>
        <w:spacing w:after="0"/>
        <w:tabs>
          <w:tab w:leader="none" w:pos="2120" w:val="left"/>
        </w:tabs>
        <w:rPr>
          <w:sz w:val="20"/>
          <w:szCs w:val="20"/>
          <w:color w:val="auto"/>
        </w:rPr>
      </w:pPr>
      <w:r>
        <w:rPr>
          <w:rFonts w:ascii="Arial" w:cs="Arial" w:eastAsia="Arial" w:hAnsi="Arial"/>
          <w:sz w:val="17"/>
          <w:szCs w:val="17"/>
          <w:color w:val="auto"/>
        </w:rPr>
        <w:t>(6,841)</w:t>
      </w:r>
      <w:r>
        <w:rPr>
          <w:sz w:val="20"/>
          <w:szCs w:val="20"/>
          <w:color w:val="auto"/>
        </w:rPr>
        <w:tab/>
      </w:r>
      <w:r>
        <w:rPr>
          <w:rFonts w:ascii="Arial" w:cs="Arial" w:eastAsia="Arial" w:hAnsi="Arial"/>
          <w:sz w:val="17"/>
          <w:szCs w:val="17"/>
          <w:color w:val="auto"/>
        </w:rPr>
        <w:t>(22,944)</w:t>
      </w:r>
    </w:p>
    <w:p>
      <w:pPr>
        <w:spacing w:after="0" w:line="48" w:lineRule="exact"/>
        <w:rPr>
          <w:sz w:val="20"/>
          <w:szCs w:val="20"/>
          <w:color w:val="auto"/>
        </w:rPr>
      </w:pPr>
    </w:p>
    <w:p>
      <w:pPr>
        <w:spacing w:after="0"/>
        <w:tabs>
          <w:tab w:leader="none" w:pos="440" w:val="left"/>
          <w:tab w:leader="none" w:pos="1480" w:val="left"/>
          <w:tab w:leader="none" w:pos="20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2,990,684</w:t>
        <w:tab/>
        <w:t>$</w:t>
      </w:r>
      <w:r>
        <w:rPr>
          <w:sz w:val="20"/>
          <w:szCs w:val="20"/>
          <w:color w:val="auto"/>
        </w:rPr>
        <w:tab/>
      </w:r>
      <w:r>
        <w:rPr>
          <w:rFonts w:ascii="Arial" w:cs="Arial" w:eastAsia="Arial" w:hAnsi="Arial"/>
          <w:sz w:val="18"/>
          <w:szCs w:val="18"/>
          <w:color w:val="auto"/>
        </w:rPr>
        <w:t>267,218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31750</wp:posOffset>
            </wp:positionV>
            <wp:extent cx="18173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664" w:lineRule="exact"/>
        <w:rPr>
          <w:sz w:val="20"/>
          <w:szCs w:val="20"/>
          <w:color w:val="auto"/>
        </w:rPr>
      </w:pPr>
    </w:p>
    <w:p>
      <w:pPr>
        <w:sectPr>
          <w:pgSz w:w="11900" w:h="16838" w:orient="portrait"/>
          <w:cols w:equalWidth="0" w:num="2">
            <w:col w:w="7080" w:space="380"/>
            <w:col w:w="3780"/>
          </w:cols>
          <w:pgMar w:left="320" w:top="1035" w:right="339" w:bottom="1440" w:gutter="0" w:footer="0" w:header="0"/>
        </w:sectPr>
      </w:pPr>
    </w:p>
    <w:p>
      <w:pPr>
        <w:spacing w:after="0" w:line="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Cash used in operating activities for the three months ended March 31, 2021 included the net loss of $7.3 million, decreased by non-cash stock-based compensation expense of approximately $366,000 and increased by the non-cash gain on extinguishment of the Paycheck Protection Program note payable and accrued interest of $ 369,887. Components providing operating cash were an increase in accounts payable of approximately $450,000, a decrease in prepaid expenses of approximately $217,000, and a decrease in other receivables of approximately $158,000. Components reducing operating cash were a decrease in deferred grant funding of approximately $892,000 and a decrease in accrued expenses of approximately $837,000, and an increase in other non-current assets of approximately $128,000.</w:t>
      </w:r>
    </w:p>
    <w:p>
      <w:pPr>
        <w:spacing w:after="0" w:line="20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Cash used in operating activities for the three months ended March 31, 2020 included the net loss of $4.3 million, decreased by non-cash stock-based compensation expense of $ 161,000. Components providing operating cash were a $448,000 increase in accounts payable, an increase of $1.0 million in deferred license revenue and a decrease in other receivables of $125,000. Components reducing operating cash were a $2.7 million increase in prepaid expenses, a $408,000 decrease in accrued expenses and a $931,000 decrease in deferred grant funding.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Cash provided by financing activities for the three months ended March 31, 2021 and 2020 consisted of approximately $11.3 million and $6.9 million in the aggregate, respectively, primarily from sales of our common stock under our ATM sales agreement and our equity line during the current year period, and primarily from sales of shares of our common stock under our ATM sales agreement and upon the exercise of warrants during the prior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cash was provided by or used in investing activities for the three months ended March 31, 2021 and March 31,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Royalty Agreements</w:t>
      </w:r>
    </w:p>
    <w:p>
      <w:pPr>
        <w:spacing w:after="0" w:line="22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committed to make various royalty and milestone payments under the product license and development agreements related to DARE-BV1, Ovaprene, and Sildenafil Cream, 3.6%, and under the other agreements related to our other clinical and preclinical candidates. For further discussion of these potential payments, see Note 3 to our unaudited condensed consolidated financial statements contained in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Contracts</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enter into contracts in the normal course of business with various third parties for research studies, clinical trials, testing and other services. These contracts generally provide for termination upon notice, and we do not believe that our non-cancelable obligations under these agreements are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ectPr>
          <w:pgSz w:w="11900" w:h="16838" w:orient="portrait"/>
          <w:cols w:equalWidth="0" w:num="1">
            <w:col w:w="11240"/>
          </w:cols>
          <w:pgMar w:left="320" w:top="1035" w:right="339"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SEC rules and regulations, as a smaller reporting company we are not required to provide the information required by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maintain disclosure controls and procedures (as defined in Rule 13a-15(e) of the Exchange Act)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3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the conclusion of the quarterly period covered by this report, we carried out an evaluation, under the supervision and with the participation of our management, including our Chief Executive Officer and Chief Financial Officer, of the effectiveness of our disclosure controls and procedures. Based upon that evaluation, our Chief Executive Officer and Chief Financial Officer concluded that our disclosure controls and procedures (as defined in Rule 13a-15(e) of the Exchange Act) were effective as of March 31, 2021 at the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the fiscal quarter to which this report relates that has materially affected, or is reasonably likely to materially affect, our internal control over financial reporting.</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time to time, we may become involved in various claims and legal proceedings. Regardless of outcome, litigation and other legal proceedings can have an adverse impact on us because of defense and settlement costs, diversion of management resources and other factors. As of the date of filing this report, there is no material pending legal proceeding to which we are a party or of which any of our property is subject, and management is not aware of any contemplated proceeding by any governmental authority against 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An investment in shares of our common stock involves a high degree of risk. You should carefully consider the risks and uncertainties described in our 2020 10-K, in addition to other information in this report, before investing in our common stock. The occurrence of any of these risks could have a material adverse effect on our business, financial condition, results of operations and growth prospects. In these circumstances, the market price of our common stock could decline, and you may lose all or part of your investment. There have been no material changes from the risk factors disclosed in Part I, Item 1A. Risk Factors in our 2020 10-K.</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6"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0" w:lineRule="exact"/>
        <w:rPr>
          <w:sz w:val="20"/>
          <w:szCs w:val="20"/>
          <w:color w:val="auto"/>
        </w:rPr>
      </w:pPr>
    </w:p>
    <w:p>
      <w:pPr>
        <w:ind w:left="1120" w:hanging="464"/>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None.</w:t>
      </w:r>
    </w:p>
    <w:p>
      <w:pPr>
        <w:spacing w:after="0" w:line="9" w:lineRule="exact"/>
        <w:rPr>
          <w:rFonts w:ascii="Arial" w:cs="Arial" w:eastAsia="Arial" w:hAnsi="Arial"/>
          <w:sz w:val="18"/>
          <w:szCs w:val="18"/>
          <w:color w:val="auto"/>
        </w:rPr>
      </w:pPr>
    </w:p>
    <w:p>
      <w:pPr>
        <w:ind w:left="1120" w:hanging="464"/>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9"/>
        </w:trPr>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Item 6. Exhibits</w:t>
            </w:r>
          </w:p>
        </w:tc>
        <w:tc>
          <w:tcPr>
            <w:tcW w:w="9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40" w:type="dxa"/>
            <w:vAlign w:val="bottom"/>
            <w:gridSpan w:val="9"/>
          </w:tcPr>
          <w:p>
            <w:pPr>
              <w:ind w:left="58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27"/>
        </w:trPr>
        <w:tc>
          <w:tcPr>
            <w:tcW w:w="1340" w:type="dxa"/>
            <w:vAlign w:val="bottom"/>
            <w:gridSpan w:val="3"/>
            <w:vMerge w:val="restart"/>
          </w:tcPr>
          <w:p>
            <w:pPr>
              <w:ind w:left="240"/>
              <w:spacing w:after="0"/>
              <w:rPr>
                <w:sz w:val="20"/>
                <w:szCs w:val="20"/>
                <w:color w:val="auto"/>
              </w:rPr>
            </w:pPr>
            <w:r>
              <w:rPr>
                <w:rFonts w:ascii="Arial" w:cs="Arial" w:eastAsia="Arial" w:hAnsi="Arial"/>
                <w:sz w:val="18"/>
                <w:szCs w:val="18"/>
                <w:b w:val="1"/>
                <w:bCs w:val="1"/>
                <w:color w:val="auto"/>
              </w:rPr>
              <w:t>Exhibit</w:t>
            </w:r>
          </w:p>
        </w:tc>
        <w:tc>
          <w:tcPr>
            <w:tcW w:w="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200"/>
        </w:trPr>
        <w:tc>
          <w:tcPr>
            <w:tcW w:w="1340" w:type="dxa"/>
            <w:vAlign w:val="bottom"/>
            <w:gridSpan w:val="3"/>
            <w:vMerge w:val="continue"/>
          </w:tcPr>
          <w:p>
            <w:pPr>
              <w:spacing w:after="0"/>
              <w:rPr>
                <w:sz w:val="17"/>
                <w:szCs w:val="17"/>
                <w:color w:val="auto"/>
              </w:rPr>
            </w:pPr>
          </w:p>
        </w:tc>
        <w:tc>
          <w:tcPr>
            <w:tcW w:w="9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340" w:type="dxa"/>
            <w:vAlign w:val="bottom"/>
            <w:gridSpan w:val="3"/>
          </w:tcPr>
          <w:p>
            <w:pPr>
              <w:ind w:left="200"/>
              <w:spacing w:after="0"/>
              <w:rPr>
                <w:sz w:val="20"/>
                <w:szCs w:val="20"/>
                <w:color w:val="auto"/>
              </w:rPr>
            </w:pPr>
            <w:r>
              <w:rPr>
                <w:rFonts w:ascii="Arial" w:cs="Arial" w:eastAsia="Arial" w:hAnsi="Arial"/>
                <w:sz w:val="18"/>
                <w:szCs w:val="18"/>
                <w:b w:val="1"/>
                <w:bCs w:val="1"/>
                <w:color w:val="auto"/>
              </w:rPr>
              <w:t>Number</w:t>
            </w:r>
          </w:p>
        </w:tc>
        <w:tc>
          <w:tcPr>
            <w:tcW w:w="900" w:type="dxa"/>
            <w:vAlign w:val="bottom"/>
          </w:tcPr>
          <w:p>
            <w:pPr>
              <w:spacing w:after="0"/>
              <w:rPr>
                <w:sz w:val="20"/>
                <w:szCs w:val="20"/>
                <w:color w:val="auto"/>
              </w:rPr>
            </w:pPr>
          </w:p>
        </w:tc>
        <w:tc>
          <w:tcPr>
            <w:tcW w:w="3220" w:type="dxa"/>
            <w:vAlign w:val="bottom"/>
            <w:gridSpan w:val="11"/>
          </w:tcPr>
          <w:p>
            <w:pPr>
              <w:ind w:left="100"/>
              <w:spacing w:after="0"/>
              <w:rPr>
                <w:sz w:val="20"/>
                <w:szCs w:val="20"/>
                <w:color w:val="auto"/>
              </w:rPr>
            </w:pPr>
            <w:r>
              <w:rPr>
                <w:rFonts w:ascii="Arial" w:cs="Arial" w:eastAsia="Arial" w:hAnsi="Arial"/>
                <w:sz w:val="18"/>
                <w:szCs w:val="18"/>
                <w:b w:val="1"/>
                <w:bCs w:val="1"/>
                <w:color w:val="auto"/>
              </w:rPr>
              <w:t>Description of Exhibit</w:t>
            </w:r>
          </w:p>
        </w:tc>
        <w:tc>
          <w:tcPr>
            <w:tcW w:w="940" w:type="dxa"/>
            <w:vAlign w:val="bottom"/>
            <w:gridSpan w:val="2"/>
          </w:tcPr>
          <w:p>
            <w:pPr>
              <w:ind w:left="180"/>
              <w:spacing w:after="0"/>
              <w:rPr>
                <w:sz w:val="20"/>
                <w:szCs w:val="20"/>
                <w:color w:val="auto"/>
              </w:rPr>
            </w:pPr>
            <w:r>
              <w:rPr>
                <w:rFonts w:ascii="Arial" w:cs="Arial" w:eastAsia="Arial" w:hAnsi="Arial"/>
                <w:sz w:val="18"/>
                <w:szCs w:val="18"/>
                <w:b w:val="1"/>
                <w:bCs w:val="1"/>
                <w:color w:val="auto"/>
              </w:rPr>
              <w:t>Form</w:t>
            </w:r>
          </w:p>
        </w:tc>
        <w:tc>
          <w:tcPr>
            <w:tcW w:w="1240" w:type="dxa"/>
            <w:vAlign w:val="bottom"/>
            <w:gridSpan w:val="2"/>
          </w:tcPr>
          <w:p>
            <w:pPr>
              <w:ind w:left="240"/>
              <w:spacing w:after="0"/>
              <w:rPr>
                <w:sz w:val="20"/>
                <w:szCs w:val="20"/>
                <w:color w:val="auto"/>
              </w:rPr>
            </w:pPr>
            <w:r>
              <w:rPr>
                <w:rFonts w:ascii="Arial" w:cs="Arial" w:eastAsia="Arial" w:hAnsi="Arial"/>
                <w:sz w:val="18"/>
                <w:szCs w:val="18"/>
                <w:b w:val="1"/>
                <w:bCs w:val="1"/>
                <w:color w:val="auto"/>
              </w:rPr>
              <w:t>File No.</w:t>
            </w:r>
          </w:p>
        </w:tc>
        <w:tc>
          <w:tcPr>
            <w:tcW w:w="3560" w:type="dxa"/>
            <w:vAlign w:val="bottom"/>
            <w:gridSpan w:val="5"/>
          </w:tcPr>
          <w:p>
            <w:pPr>
              <w:ind w:left="160"/>
              <w:spacing w:after="0"/>
              <w:rPr>
                <w:sz w:val="20"/>
                <w:szCs w:val="20"/>
                <w:color w:val="auto"/>
              </w:rPr>
            </w:pPr>
            <w:r>
              <w:rPr>
                <w:rFonts w:ascii="Arial" w:cs="Arial" w:eastAsia="Arial" w:hAnsi="Arial"/>
                <w:sz w:val="18"/>
                <w:szCs w:val="18"/>
                <w:b w:val="1"/>
                <w:bCs w:val="1"/>
                <w:color w:val="auto"/>
              </w:rPr>
              <w:t>Filing Date   Exhibit No.   Herewith</w:t>
            </w:r>
          </w:p>
        </w:tc>
        <w:tc>
          <w:tcPr>
            <w:tcW w:w="0" w:type="dxa"/>
            <w:vAlign w:val="bottom"/>
          </w:tcPr>
          <w:p>
            <w:pPr>
              <w:spacing w:after="0"/>
              <w:rPr>
                <w:sz w:val="1"/>
                <w:szCs w:val="1"/>
                <w:color w:val="auto"/>
              </w:rPr>
            </w:pPr>
          </w:p>
        </w:tc>
      </w:tr>
      <w:tr>
        <w:trPr>
          <w:trHeight w:val="27"/>
        </w:trPr>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08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20" w:type="dxa"/>
            <w:vAlign w:val="bottom"/>
            <w:gridSpan w:val="12"/>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Certification of principal executive officer pursuant</w:t>
              </w:r>
            </w:hyperlink>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6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w:anchor="page42">
              <w:r>
                <w:rPr>
                  <w:rFonts w:ascii="Arial" w:cs="Arial" w:eastAsia="Arial" w:hAnsi="Arial"/>
                  <w:sz w:val="18"/>
                  <w:szCs w:val="18"/>
                  <w:color w:val="0000FF"/>
                </w:rPr>
                <w:t>to Rule 13a-14(a)/15d-14(a) of the Securities</w:t>
              </w:r>
            </w:hyperlink>
          </w:p>
        </w:tc>
        <w:tc>
          <w:tcPr>
            <w:tcW w:w="16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6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42">
              <w:r>
                <w:rPr>
                  <w:rFonts w:ascii="Arial" w:cs="Arial" w:eastAsia="Arial" w:hAnsi="Arial"/>
                  <w:sz w:val="18"/>
                  <w:szCs w:val="18"/>
                  <w:color w:val="0000FF"/>
                </w:rPr>
                <w:t>Exchange Act of 1934, as amended</w:t>
              </w:r>
            </w:hyperlink>
          </w:p>
        </w:tc>
        <w:tc>
          <w:tcPr>
            <w:tcW w:w="560" w:type="dxa"/>
            <w:vAlign w:val="bottom"/>
            <w:gridSpan w:val="7"/>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gridSpan w:val="12"/>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Certification of principal financial officer pursuant</w:t>
              </w:r>
            </w:hyperlink>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6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w:anchor="page43">
              <w:r>
                <w:rPr>
                  <w:rFonts w:ascii="Arial" w:cs="Arial" w:eastAsia="Arial" w:hAnsi="Arial"/>
                  <w:sz w:val="18"/>
                  <w:szCs w:val="18"/>
                  <w:color w:val="0000FF"/>
                </w:rPr>
                <w:t>to Rule 13a-14(a)/15d-14(a) of the Securities</w:t>
              </w:r>
            </w:hyperlink>
          </w:p>
        </w:tc>
        <w:tc>
          <w:tcPr>
            <w:tcW w:w="260" w:type="dxa"/>
            <w:vAlign w:val="bottom"/>
            <w:gridSpan w:val="3"/>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6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43">
              <w:r>
                <w:rPr>
                  <w:rFonts w:ascii="Arial" w:cs="Arial" w:eastAsia="Arial" w:hAnsi="Arial"/>
                  <w:sz w:val="18"/>
                  <w:szCs w:val="18"/>
                  <w:color w:val="0000FF"/>
                </w:rPr>
                <w:t>Exchange Act of 1934, as amended</w:t>
              </w:r>
            </w:hyperlink>
          </w:p>
        </w:tc>
        <w:tc>
          <w:tcPr>
            <w:tcW w:w="560" w:type="dxa"/>
            <w:vAlign w:val="bottom"/>
            <w:gridSpan w:val="7"/>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gridSpan w:val="1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Certification of principal executive officer pursuant</w:t>
              </w:r>
            </w:hyperlink>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gridSpan w:val="5"/>
          </w:tcPr>
          <w:p>
            <w:pPr>
              <w:jc w:val="center"/>
              <w:ind w:left="23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6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w:anchor="page44">
              <w:r>
                <w:rPr>
                  <w:rFonts w:ascii="Arial" w:cs="Arial" w:eastAsia="Arial" w:hAnsi="Arial"/>
                  <w:sz w:val="18"/>
                  <w:szCs w:val="18"/>
                  <w:color w:val="0000FF"/>
                </w:rPr>
                <w:t>to 18 U.S.C. §1350, as adopted pursuant to</w:t>
              </w:r>
            </w:hyperlink>
          </w:p>
        </w:tc>
        <w:tc>
          <w:tcPr>
            <w:tcW w:w="16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80" w:type="dxa"/>
            <w:vAlign w:val="bottom"/>
            <w:tcBorders>
              <w:bottom w:val="single" w:sz="8" w:color="0000FF"/>
            </w:tcBorders>
            <w:gridSpan w:val="8"/>
          </w:tcPr>
          <w:p>
            <w:pPr>
              <w:spacing w:after="0" w:line="196" w:lineRule="exact"/>
              <w:rPr>
                <w:rFonts w:ascii="Arial" w:cs="Arial" w:eastAsia="Arial" w:hAnsi="Arial"/>
                <w:sz w:val="18"/>
                <w:szCs w:val="18"/>
                <w:color w:val="0000FF"/>
              </w:rPr>
            </w:pPr>
            <w:hyperlink w:anchor="page44">
              <w:r>
                <w:rPr>
                  <w:rFonts w:ascii="Arial" w:cs="Arial" w:eastAsia="Arial" w:hAnsi="Arial"/>
                  <w:sz w:val="18"/>
                  <w:szCs w:val="18"/>
                  <w:color w:val="0000FF"/>
                </w:rPr>
                <w:t>Section 906 of the Sarbanes-Oxley Act of 2002</w:t>
              </w:r>
            </w:hyperlink>
          </w:p>
        </w:tc>
        <w:tc>
          <w:tcPr>
            <w:tcW w:w="34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8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gridSpan w:val="12"/>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Certification of principal financial officer pursuant</w:t>
              </w:r>
            </w:hyperlink>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gridSpan w:val="5"/>
          </w:tcPr>
          <w:p>
            <w:pPr>
              <w:jc w:val="center"/>
              <w:ind w:left="23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9"/>
              </w:rPr>
            </w:pPr>
            <w:hyperlink w:anchor="page45">
              <w:r>
                <w:rPr>
                  <w:rFonts w:ascii="Arial" w:cs="Arial" w:eastAsia="Arial" w:hAnsi="Arial"/>
                  <w:sz w:val="18"/>
                  <w:szCs w:val="18"/>
                  <w:color w:val="0000FF"/>
                  <w:w w:val="99"/>
                </w:rPr>
                <w:t>to 18 U.Certification of principal financial officer</w:t>
              </w:r>
            </w:hyperlink>
          </w:p>
        </w:tc>
        <w:tc>
          <w:tcPr>
            <w:tcW w:w="100" w:type="dxa"/>
            <w:vAlign w:val="bottom"/>
            <w:tcBorders>
              <w:top w:val="single" w:sz="8" w:color="0000FF"/>
            </w:tcBorders>
            <w:gridSpan w:val="2"/>
          </w:tcPr>
          <w:p>
            <w:pPr>
              <w:spacing w:after="0"/>
              <w:rPr>
                <w:sz w:val="17"/>
                <w:szCs w:val="17"/>
                <w:color w:val="auto"/>
              </w:rPr>
            </w:pPr>
          </w:p>
        </w:tc>
        <w:tc>
          <w:tcPr>
            <w:tcW w:w="260" w:type="dxa"/>
            <w:vAlign w:val="bottom"/>
            <w:gridSpan w:val="3"/>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20" w:type="dxa"/>
            <w:vAlign w:val="bottom"/>
            <w:gridSpan w:val="12"/>
          </w:tcPr>
          <w:p>
            <w:pPr>
              <w:spacing w:after="0" w:line="196" w:lineRule="exact"/>
              <w:rPr>
                <w:rFonts w:ascii="Arial" w:cs="Arial" w:eastAsia="Arial" w:hAnsi="Arial"/>
                <w:sz w:val="18"/>
                <w:szCs w:val="18"/>
                <w:color w:val="0000FF"/>
              </w:rPr>
            </w:pPr>
            <w:hyperlink w:anchor="page45">
              <w:r>
                <w:rPr>
                  <w:rFonts w:ascii="Arial" w:cs="Arial" w:eastAsia="Arial" w:hAnsi="Arial"/>
                  <w:sz w:val="18"/>
                  <w:szCs w:val="18"/>
                  <w:color w:val="0000FF"/>
                </w:rPr>
                <w:t>pursuant to 18 U.S.C. §1350, as adopted</w:t>
              </w:r>
            </w:hyperlink>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40" w:type="dxa"/>
            <w:vAlign w:val="bottom"/>
            <w:tcBorders>
              <w:bottom w:val="single" w:sz="8" w:color="0000FF"/>
            </w:tcBorders>
            <w:gridSpan w:val="6"/>
          </w:tcPr>
          <w:p>
            <w:pPr>
              <w:spacing w:after="0" w:line="196" w:lineRule="exact"/>
              <w:rPr>
                <w:rFonts w:ascii="Arial" w:cs="Arial" w:eastAsia="Arial" w:hAnsi="Arial"/>
                <w:sz w:val="18"/>
                <w:szCs w:val="18"/>
                <w:color w:val="0000FF"/>
                <w:w w:val="99"/>
              </w:rPr>
            </w:pPr>
            <w:hyperlink w:anchor="page45">
              <w:r>
                <w:rPr>
                  <w:rFonts w:ascii="Arial" w:cs="Arial" w:eastAsia="Arial" w:hAnsi="Arial"/>
                  <w:sz w:val="18"/>
                  <w:szCs w:val="18"/>
                  <w:color w:val="0000FF"/>
                  <w:w w:val="99"/>
                </w:rPr>
                <w:t>pursuant to Section 906 of the Sarbanes-Oxley</w:t>
              </w:r>
            </w:hyperlink>
          </w:p>
        </w:tc>
        <w:tc>
          <w:tcPr>
            <w:tcW w:w="38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20" w:type="dxa"/>
            <w:vAlign w:val="bottom"/>
            <w:gridSpan w:val="12"/>
          </w:tcPr>
          <w:p>
            <w:pPr>
              <w:spacing w:after="0" w:line="196" w:lineRule="exact"/>
              <w:rPr>
                <w:rFonts w:ascii="Arial" w:cs="Arial" w:eastAsia="Arial" w:hAnsi="Arial"/>
                <w:sz w:val="18"/>
                <w:szCs w:val="18"/>
                <w:color w:val="0000FF"/>
              </w:rPr>
            </w:pPr>
            <w:hyperlink w:anchor="page45">
              <w:r>
                <w:rPr>
                  <w:rFonts w:ascii="Arial" w:cs="Arial" w:eastAsia="Arial" w:hAnsi="Arial"/>
                  <w:sz w:val="18"/>
                  <w:szCs w:val="18"/>
                  <w:color w:val="0000FF"/>
                </w:rPr>
                <w:t>Act of 2002</w:t>
              </w:r>
            </w:hyperlink>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gridSpan w:val="3"/>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20" w:type="dxa"/>
            <w:vAlign w:val="bottom"/>
            <w:gridSpan w:val="1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340" w:type="dxa"/>
            <w:vAlign w:val="bottom"/>
            <w:gridSpan w:val="3"/>
          </w:tcPr>
          <w:p>
            <w:pPr>
              <w:ind w:left="20"/>
              <w:spacing w:after="0"/>
              <w:rPr>
                <w:sz w:val="20"/>
                <w:szCs w:val="20"/>
                <w:color w:val="auto"/>
              </w:rPr>
            </w:pPr>
            <w:r>
              <w:rPr>
                <w:rFonts w:ascii="Arial" w:cs="Arial" w:eastAsia="Arial" w:hAnsi="Arial"/>
                <w:sz w:val="18"/>
                <w:szCs w:val="18"/>
                <w:color w:val="auto"/>
              </w:rPr>
              <w:t>101.INS</w:t>
            </w:r>
          </w:p>
        </w:tc>
        <w:tc>
          <w:tcPr>
            <w:tcW w:w="412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4"/>
        </w:trPr>
        <w:tc>
          <w:tcPr>
            <w:tcW w:w="1340" w:type="dxa"/>
            <w:vAlign w:val="bottom"/>
            <w:gridSpan w:val="3"/>
          </w:tcPr>
          <w:p>
            <w:pPr>
              <w:ind w:left="20"/>
              <w:spacing w:after="0"/>
              <w:rPr>
                <w:sz w:val="20"/>
                <w:szCs w:val="20"/>
                <w:color w:val="auto"/>
              </w:rPr>
            </w:pPr>
            <w:r>
              <w:rPr>
                <w:rFonts w:ascii="Arial" w:cs="Arial" w:eastAsia="Arial" w:hAnsi="Arial"/>
                <w:sz w:val="18"/>
                <w:szCs w:val="18"/>
                <w:color w:val="auto"/>
              </w:rPr>
              <w:t>101.SCH</w:t>
            </w:r>
          </w:p>
        </w:tc>
        <w:tc>
          <w:tcPr>
            <w:tcW w:w="412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3"/>
        </w:trPr>
        <w:tc>
          <w:tcPr>
            <w:tcW w:w="1340" w:type="dxa"/>
            <w:vAlign w:val="bottom"/>
            <w:gridSpan w:val="3"/>
          </w:tcPr>
          <w:p>
            <w:pPr>
              <w:ind w:left="20"/>
              <w:spacing w:after="0"/>
              <w:rPr>
                <w:sz w:val="20"/>
                <w:szCs w:val="20"/>
                <w:color w:val="auto"/>
              </w:rPr>
            </w:pPr>
            <w:r>
              <w:rPr>
                <w:rFonts w:ascii="Arial" w:cs="Arial" w:eastAsia="Arial" w:hAnsi="Arial"/>
                <w:sz w:val="18"/>
                <w:szCs w:val="18"/>
                <w:color w:val="auto"/>
              </w:rPr>
              <w:t>101.CAL</w:t>
            </w:r>
          </w:p>
        </w:tc>
        <w:tc>
          <w:tcPr>
            <w:tcW w:w="412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2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340" w:type="dxa"/>
            <w:vAlign w:val="bottom"/>
            <w:gridSpan w:val="3"/>
          </w:tcPr>
          <w:p>
            <w:pPr>
              <w:ind w:left="20"/>
              <w:spacing w:after="0"/>
              <w:rPr>
                <w:sz w:val="20"/>
                <w:szCs w:val="20"/>
                <w:color w:val="auto"/>
              </w:rPr>
            </w:pPr>
            <w:r>
              <w:rPr>
                <w:rFonts w:ascii="Arial" w:cs="Arial" w:eastAsia="Arial" w:hAnsi="Arial"/>
                <w:sz w:val="18"/>
                <w:szCs w:val="18"/>
                <w:color w:val="auto"/>
              </w:rPr>
              <w:t>101.DEF</w:t>
            </w:r>
          </w:p>
        </w:tc>
        <w:tc>
          <w:tcPr>
            <w:tcW w:w="412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2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340" w:type="dxa"/>
            <w:vAlign w:val="bottom"/>
            <w:gridSpan w:val="3"/>
          </w:tcPr>
          <w:p>
            <w:pPr>
              <w:ind w:left="20"/>
              <w:spacing w:after="0"/>
              <w:rPr>
                <w:sz w:val="20"/>
                <w:szCs w:val="20"/>
                <w:color w:val="auto"/>
              </w:rPr>
            </w:pPr>
            <w:r>
              <w:rPr>
                <w:rFonts w:ascii="Arial" w:cs="Arial" w:eastAsia="Arial" w:hAnsi="Arial"/>
                <w:sz w:val="18"/>
                <w:szCs w:val="18"/>
                <w:color w:val="auto"/>
              </w:rPr>
              <w:t>101.LAB</w:t>
            </w:r>
          </w:p>
        </w:tc>
        <w:tc>
          <w:tcPr>
            <w:tcW w:w="412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2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340" w:type="dxa"/>
            <w:vAlign w:val="bottom"/>
            <w:gridSpan w:val="3"/>
          </w:tcPr>
          <w:p>
            <w:pPr>
              <w:ind w:left="20"/>
              <w:spacing w:after="0"/>
              <w:rPr>
                <w:sz w:val="20"/>
                <w:szCs w:val="20"/>
                <w:color w:val="auto"/>
              </w:rPr>
            </w:pPr>
            <w:r>
              <w:rPr>
                <w:rFonts w:ascii="Arial" w:cs="Arial" w:eastAsia="Arial" w:hAnsi="Arial"/>
                <w:sz w:val="18"/>
                <w:szCs w:val="18"/>
                <w:color w:val="auto"/>
              </w:rPr>
              <w:t>101.PRE</w:t>
            </w:r>
          </w:p>
        </w:tc>
        <w:tc>
          <w:tcPr>
            <w:tcW w:w="412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20" w:type="dxa"/>
            <w:vAlign w:val="bottom"/>
            <w:gridSpan w:val="12"/>
          </w:tcPr>
          <w:p>
            <w:pPr>
              <w:spacing w:after="0"/>
              <w:rPr>
                <w:sz w:val="20"/>
                <w:szCs w:val="20"/>
                <w:color w:val="auto"/>
              </w:rPr>
            </w:pPr>
            <w:r>
              <w:rPr>
                <w:rFonts w:ascii="Arial" w:cs="Arial" w:eastAsia="Arial" w:hAnsi="Arial"/>
                <w:sz w:val="18"/>
                <w:szCs w:val="18"/>
                <w:color w:val="auto"/>
              </w:rPr>
              <w:t>Linkbase Document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1340" w:right="100" w:hanging="842"/>
        <w:spacing w:after="0" w:line="215" w:lineRule="auto"/>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2" w:right="37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4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Daré Bioscience, Inc.</w:t>
            </w:r>
          </w:p>
        </w:tc>
      </w:tr>
      <w:tr>
        <w:trPr>
          <w:trHeight w:val="500"/>
        </w:trPr>
        <w:tc>
          <w:tcPr>
            <w:tcW w:w="3400" w:type="dxa"/>
            <w:vAlign w:val="bottom"/>
          </w:tcPr>
          <w:p>
            <w:pPr>
              <w:spacing w:after="0"/>
              <w:rPr>
                <w:sz w:val="20"/>
                <w:szCs w:val="20"/>
                <w:color w:val="auto"/>
              </w:rPr>
            </w:pPr>
            <w:r>
              <w:rPr>
                <w:rFonts w:ascii="Arial" w:cs="Arial" w:eastAsia="Arial" w:hAnsi="Arial"/>
                <w:sz w:val="18"/>
                <w:szCs w:val="18"/>
                <w:color w:val="auto"/>
              </w:rPr>
              <w:t>Date: May 13, 2021</w:t>
            </w:r>
          </w:p>
        </w:tc>
        <w:tc>
          <w:tcPr>
            <w:tcW w:w="2100" w:type="dxa"/>
            <w:vAlign w:val="bottom"/>
          </w:tcPr>
          <w:p>
            <w:pPr>
              <w:ind w:left="1840"/>
              <w:spacing w:after="0"/>
              <w:rPr>
                <w:sz w:val="20"/>
                <w:szCs w:val="20"/>
                <w:color w:val="auto"/>
              </w:rPr>
            </w:pPr>
            <w:r>
              <w:rPr>
                <w:rFonts w:ascii="Arial" w:cs="Arial" w:eastAsia="Arial" w:hAnsi="Arial"/>
                <w:sz w:val="18"/>
                <w:szCs w:val="18"/>
                <w:color w:val="auto"/>
                <w:w w:val="92"/>
              </w:rPr>
              <w:t>By:</w:t>
            </w:r>
          </w:p>
        </w:tc>
        <w:tc>
          <w:tcPr>
            <w:tcW w:w="180" w:type="dxa"/>
            <w:vAlign w:val="bottom"/>
          </w:tcPr>
          <w:p>
            <w:pPr>
              <w:spacing w:after="0"/>
              <w:rPr>
                <w:sz w:val="24"/>
                <w:szCs w:val="24"/>
                <w:color w:val="auto"/>
              </w:rPr>
            </w:pP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Sabrina Martucci Johnson</w:t>
            </w:r>
          </w:p>
        </w:tc>
      </w:tr>
      <w:tr>
        <w:trPr>
          <w:trHeight w:val="223"/>
        </w:trPr>
        <w:tc>
          <w:tcPr>
            <w:tcW w:w="34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Sabrina Martucci Johnson</w:t>
            </w:r>
          </w:p>
        </w:tc>
      </w:tr>
      <w:tr>
        <w:trPr>
          <w:trHeight w:val="230"/>
        </w:trPr>
        <w:tc>
          <w:tcPr>
            <w:tcW w:w="34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34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3400" w:type="dxa"/>
            <w:vAlign w:val="bottom"/>
          </w:tcPr>
          <w:p>
            <w:pPr>
              <w:spacing w:after="0"/>
              <w:rPr>
                <w:sz w:val="20"/>
                <w:szCs w:val="20"/>
                <w:color w:val="auto"/>
              </w:rPr>
            </w:pPr>
            <w:r>
              <w:rPr>
                <w:rFonts w:ascii="Arial" w:cs="Arial" w:eastAsia="Arial" w:hAnsi="Arial"/>
                <w:sz w:val="18"/>
                <w:szCs w:val="18"/>
                <w:color w:val="auto"/>
              </w:rPr>
              <w:t>Date: May 13, 2021</w:t>
            </w:r>
          </w:p>
        </w:tc>
        <w:tc>
          <w:tcPr>
            <w:tcW w:w="2100" w:type="dxa"/>
            <w:vAlign w:val="bottom"/>
          </w:tcPr>
          <w:p>
            <w:pPr>
              <w:ind w:left="1840"/>
              <w:spacing w:after="0"/>
              <w:rPr>
                <w:sz w:val="20"/>
                <w:szCs w:val="20"/>
                <w:color w:val="auto"/>
              </w:rPr>
            </w:pPr>
            <w:r>
              <w:rPr>
                <w:rFonts w:ascii="Arial" w:cs="Arial" w:eastAsia="Arial" w:hAnsi="Arial"/>
                <w:sz w:val="18"/>
                <w:szCs w:val="18"/>
                <w:color w:val="auto"/>
                <w:w w:val="92"/>
              </w:rPr>
              <w:t>By:</w:t>
            </w:r>
          </w:p>
        </w:tc>
        <w:tc>
          <w:tcPr>
            <w:tcW w:w="180" w:type="dxa"/>
            <w:vAlign w:val="bottom"/>
          </w:tcPr>
          <w:p>
            <w:pPr>
              <w:spacing w:after="0"/>
              <w:rPr>
                <w:sz w:val="24"/>
                <w:szCs w:val="24"/>
                <w:color w:val="auto"/>
              </w:rPr>
            </w:pP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Lisa Walters-Hoffert</w:t>
            </w:r>
          </w:p>
        </w:tc>
      </w:tr>
      <w:tr>
        <w:trPr>
          <w:trHeight w:val="223"/>
        </w:trPr>
        <w:tc>
          <w:tcPr>
            <w:tcW w:w="34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Lisa Walters-Hoffert</w:t>
            </w:r>
          </w:p>
        </w:tc>
      </w:tr>
      <w:tr>
        <w:trPr>
          <w:trHeight w:val="229"/>
        </w:trPr>
        <w:tc>
          <w:tcPr>
            <w:tcW w:w="34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4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904"/>
        </w:trPr>
        <w:tc>
          <w:tcPr>
            <w:tcW w:w="34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700" w:type="dxa"/>
            <w:vAlign w:val="bottom"/>
            <w:gridSpan w:val="2"/>
          </w:tcPr>
          <w:p>
            <w:pPr>
              <w:jc w:val="right"/>
              <w:ind w:right="5410"/>
              <w:spacing w:after="0"/>
              <w:rPr>
                <w:sz w:val="20"/>
                <w:szCs w:val="20"/>
                <w:color w:val="auto"/>
              </w:rPr>
            </w:pPr>
            <w:r>
              <w:rPr>
                <w:rFonts w:ascii="Arial" w:cs="Arial" w:eastAsia="Arial" w:hAnsi="Arial"/>
                <w:sz w:val="18"/>
                <w:szCs w:val="18"/>
                <w:color w:val="auto"/>
                <w:w w:val="89"/>
              </w:rPr>
              <w:t>36</w:t>
            </w:r>
          </w:p>
        </w:tc>
      </w:tr>
    </w:tbl>
    <w:p>
      <w:pPr>
        <w:sectPr>
          <w:pgSz w:w="11900" w:h="16838" w:orient="portrait"/>
          <w:cols w:equalWidth="0" w:num="1">
            <w:col w:w="11240"/>
          </w:cols>
          <w:pgMar w:left="320" w:top="1102"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Sabrina Martucci Johnson, certify that:</w:t>
      </w:r>
    </w:p>
    <w:p>
      <w:pPr>
        <w:spacing w:after="0" w:line="266" w:lineRule="exact"/>
        <w:rPr>
          <w:sz w:val="20"/>
          <w:szCs w:val="20"/>
          <w:color w:val="auto"/>
        </w:rPr>
      </w:pPr>
    </w:p>
    <w:p>
      <w:pPr>
        <w:ind w:left="900" w:hanging="442"/>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Daré Bioscience, Inc.;</w:t>
      </w:r>
    </w:p>
    <w:p>
      <w:pPr>
        <w:spacing w:after="0" w:line="130" w:lineRule="exact"/>
        <w:rPr>
          <w:rFonts w:ascii="Arial" w:cs="Arial" w:eastAsia="Arial" w:hAnsi="Arial"/>
          <w:sz w:val="18"/>
          <w:szCs w:val="18"/>
          <w:color w:val="auto"/>
        </w:rPr>
      </w:pPr>
    </w:p>
    <w:p>
      <w:pPr>
        <w:jc w:val="both"/>
        <w:ind w:left="900" w:right="220" w:hanging="442"/>
        <w:spacing w:after="0" w:line="21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jc w:val="both"/>
        <w:ind w:left="900" w:right="220" w:hanging="442"/>
        <w:spacing w:after="0" w:line="21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8"/>
          <w:szCs w:val="18"/>
          <w:color w:val="auto"/>
        </w:rPr>
      </w:pPr>
    </w:p>
    <w:p>
      <w:pPr>
        <w:jc w:val="both"/>
        <w:ind w:left="900" w:right="220" w:hanging="442"/>
        <w:spacing w:after="0" w:line="21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Arial" w:cs="Arial" w:eastAsia="Arial" w:hAnsi="Arial"/>
          <w:sz w:val="18"/>
          <w:szCs w:val="18"/>
          <w:color w:val="auto"/>
        </w:rPr>
      </w:pPr>
    </w:p>
    <w:p>
      <w:pPr>
        <w:jc w:val="both"/>
        <w:ind w:left="1440" w:right="260" w:hanging="550"/>
        <w:spacing w:after="0" w:line="215" w:lineRule="auto"/>
        <w:tabs>
          <w:tab w:leader="none" w:pos="14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jc w:val="both"/>
        <w:ind w:left="1440" w:right="280" w:hanging="550"/>
        <w:spacing w:after="0" w:line="219" w:lineRule="auto"/>
        <w:tabs>
          <w:tab w:leader="none" w:pos="14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8"/>
          <w:szCs w:val="18"/>
          <w:color w:val="auto"/>
        </w:rPr>
      </w:pPr>
    </w:p>
    <w:p>
      <w:pPr>
        <w:jc w:val="both"/>
        <w:ind w:left="1440" w:right="260" w:hanging="550"/>
        <w:spacing w:after="0" w:line="219" w:lineRule="auto"/>
        <w:tabs>
          <w:tab w:leader="none" w:pos="14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8"/>
          <w:szCs w:val="18"/>
          <w:color w:val="auto"/>
        </w:rPr>
      </w:pPr>
    </w:p>
    <w:p>
      <w:pPr>
        <w:jc w:val="both"/>
        <w:ind w:left="1440" w:right="260" w:hanging="550"/>
        <w:spacing w:after="0" w:line="215" w:lineRule="auto"/>
        <w:tabs>
          <w:tab w:leader="none" w:pos="14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jc w:val="both"/>
        <w:ind w:left="900" w:right="220" w:hanging="442"/>
        <w:spacing w:after="0" w:line="21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8"/>
          <w:szCs w:val="18"/>
          <w:color w:val="auto"/>
        </w:rPr>
      </w:pPr>
    </w:p>
    <w:p>
      <w:pPr>
        <w:jc w:val="both"/>
        <w:ind w:left="1440" w:right="260" w:hanging="550"/>
        <w:spacing w:after="0" w:line="219" w:lineRule="auto"/>
        <w:tabs>
          <w:tab w:leader="none" w:pos="14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8"/>
          <w:szCs w:val="18"/>
          <w:color w:val="auto"/>
        </w:rPr>
      </w:pPr>
    </w:p>
    <w:p>
      <w:pPr>
        <w:ind w:left="1440" w:right="280" w:hanging="550"/>
        <w:spacing w:after="0" w:line="227" w:lineRule="auto"/>
        <w:tabs>
          <w:tab w:leader="none" w:pos="14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2021</w:t>
      </w:r>
    </w:p>
    <w:p>
      <w:pPr>
        <w:spacing w:after="0" w:line="14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6350</wp:posOffset>
            </wp:positionV>
            <wp:extent cx="27857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Sabrina Martucci Johnson</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89"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Lisa Walters-Hoffert, certify that:</w:t>
      </w:r>
    </w:p>
    <w:p>
      <w:pPr>
        <w:spacing w:after="0" w:line="144" w:lineRule="exact"/>
        <w:rPr>
          <w:sz w:val="20"/>
          <w:szCs w:val="20"/>
          <w:color w:val="auto"/>
        </w:rPr>
      </w:pPr>
    </w:p>
    <w:p>
      <w:pPr>
        <w:ind w:left="900" w:hanging="442"/>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Daré Bioscience, Inc.;</w:t>
      </w:r>
    </w:p>
    <w:p>
      <w:pPr>
        <w:spacing w:after="0" w:line="130" w:lineRule="exact"/>
        <w:rPr>
          <w:rFonts w:ascii="Arial" w:cs="Arial" w:eastAsia="Arial" w:hAnsi="Arial"/>
          <w:sz w:val="18"/>
          <w:szCs w:val="18"/>
          <w:color w:val="auto"/>
        </w:rPr>
      </w:pPr>
    </w:p>
    <w:p>
      <w:pPr>
        <w:jc w:val="both"/>
        <w:ind w:left="900" w:right="220" w:hanging="442"/>
        <w:spacing w:after="0" w:line="21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jc w:val="both"/>
        <w:ind w:left="900" w:right="220" w:hanging="442"/>
        <w:spacing w:after="0" w:line="21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8"/>
          <w:szCs w:val="18"/>
          <w:color w:val="auto"/>
        </w:rPr>
      </w:pPr>
    </w:p>
    <w:p>
      <w:pPr>
        <w:jc w:val="both"/>
        <w:ind w:left="900" w:right="220" w:hanging="442"/>
        <w:spacing w:after="0" w:line="21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Arial" w:cs="Arial" w:eastAsia="Arial" w:hAnsi="Arial"/>
          <w:sz w:val="18"/>
          <w:szCs w:val="18"/>
          <w:color w:val="auto"/>
        </w:rPr>
      </w:pPr>
    </w:p>
    <w:p>
      <w:pPr>
        <w:jc w:val="both"/>
        <w:ind w:left="1440" w:right="260" w:hanging="550"/>
        <w:spacing w:after="0" w:line="215" w:lineRule="auto"/>
        <w:tabs>
          <w:tab w:leader="none" w:pos="14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jc w:val="both"/>
        <w:ind w:left="1440" w:right="280" w:hanging="550"/>
        <w:spacing w:after="0" w:line="219" w:lineRule="auto"/>
        <w:tabs>
          <w:tab w:leader="none" w:pos="14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8"/>
          <w:szCs w:val="18"/>
          <w:color w:val="auto"/>
        </w:rPr>
      </w:pPr>
    </w:p>
    <w:p>
      <w:pPr>
        <w:jc w:val="both"/>
        <w:ind w:left="1440" w:right="260" w:hanging="550"/>
        <w:spacing w:after="0" w:line="219" w:lineRule="auto"/>
        <w:tabs>
          <w:tab w:leader="none" w:pos="14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8"/>
          <w:szCs w:val="18"/>
          <w:color w:val="auto"/>
        </w:rPr>
      </w:pPr>
    </w:p>
    <w:p>
      <w:pPr>
        <w:jc w:val="both"/>
        <w:ind w:left="1440" w:right="260" w:hanging="550"/>
        <w:spacing w:after="0" w:line="215" w:lineRule="auto"/>
        <w:tabs>
          <w:tab w:leader="none" w:pos="14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jc w:val="both"/>
        <w:ind w:left="900" w:right="220" w:hanging="442"/>
        <w:spacing w:after="0" w:line="21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8"/>
          <w:szCs w:val="18"/>
          <w:color w:val="auto"/>
        </w:rPr>
      </w:pPr>
    </w:p>
    <w:p>
      <w:pPr>
        <w:jc w:val="both"/>
        <w:ind w:left="1440" w:right="260" w:hanging="550"/>
        <w:spacing w:after="0" w:line="219" w:lineRule="auto"/>
        <w:tabs>
          <w:tab w:leader="none" w:pos="14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8"/>
          <w:szCs w:val="18"/>
          <w:color w:val="auto"/>
        </w:rPr>
      </w:pPr>
    </w:p>
    <w:p>
      <w:pPr>
        <w:ind w:left="1440" w:right="280" w:hanging="550"/>
        <w:spacing w:after="0" w:line="227" w:lineRule="auto"/>
        <w:tabs>
          <w:tab w:leader="none" w:pos="14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2021</w:t>
      </w:r>
    </w:p>
    <w:p>
      <w:pPr>
        <w:spacing w:after="0" w:line="14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Lisa Walters-Hoffert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6350</wp:posOffset>
            </wp:positionV>
            <wp:extent cx="27857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Lisa Walters-Hoffert</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089"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on Form 10-Q of Daré Bioscience, Inc. (the “Company”) for the fiscal quarter ended March 31, 2021, as filed with the Securities and Exchange Commission on the date hereof (the “Report”), the undersigned, Sabrina Martucci Johnson, President and Chief Executive Officer of the Company, hereby certifies, pursuant to 18 U.S.C. Section 1350, that, to her knowledge on the date hereof:</w:t>
      </w:r>
    </w:p>
    <w:p>
      <w:pPr>
        <w:spacing w:after="0" w:line="204" w:lineRule="exact"/>
        <w:rPr>
          <w:sz w:val="20"/>
          <w:szCs w:val="20"/>
          <w:color w:val="auto"/>
        </w:rPr>
      </w:pPr>
    </w:p>
    <w:p>
      <w:pPr>
        <w:ind w:left="280" w:hanging="272"/>
        <w:spacing w:after="0"/>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
        <w:spacing w:after="0" w:line="261" w:lineRule="auto"/>
        <w:tabs>
          <w:tab w:leader="none" w:pos="28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1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Sabrina Martucci Johnson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13"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on Form 10-Q of Daré Bioscience, Inc. (the “Company”) for the fiscal quarter ended March 31, 2021, as filed with the Securities and Exchange Commission on the date hereof (the “Report”), the undersigned, Lisa Walters-Hoffert, Chief Financial Officer of the Company, hereby certifies, pursuant to 18 U.S.C. Section 1350, that, to her knowledge on the date hereof:</w:t>
      </w:r>
    </w:p>
    <w:p>
      <w:pPr>
        <w:spacing w:after="0" w:line="202" w:lineRule="exact"/>
        <w:rPr>
          <w:sz w:val="20"/>
          <w:szCs w:val="20"/>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
        <w:spacing w:after="0" w:line="261" w:lineRule="auto"/>
        <w:tabs>
          <w:tab w:leader="none" w:pos="28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Lisa Walters-Hoffert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1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Lisa Walters-Hoffert</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2"/>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3"/>
    </w:lvl>
  </w:abstractNum>
  <w:abstractNum w:abstractNumId="13">
    <w:nsid w:val="2D1D5AE9"/>
    <w:multiLevelType w:val="hybridMultilevel"/>
    <w:lvl w:ilvl="0">
      <w:lvlJc w:val="left"/>
      <w:lvlText w:val="%1."/>
      <w:numFmt w:val="decimal"/>
      <w:start w:val="4"/>
    </w:lvl>
  </w:abstractNum>
  <w:abstractNum w:abstractNumId="14">
    <w:nsid w:val="6763845E"/>
    <w:multiLevelType w:val="hybridMultilevel"/>
    <w:lvl w:ilvl="0">
      <w:lvlJc w:val="left"/>
      <w:lvlText w:val="%1."/>
      <w:numFmt w:val="decimal"/>
      <w:start w:val="5"/>
    </w:lvl>
  </w:abstractNum>
  <w:abstractNum w:abstractNumId="15">
    <w:nsid w:val="75A2A8D4"/>
    <w:multiLevelType w:val="hybridMultilevel"/>
    <w:lvl w:ilvl="0">
      <w:lvlJc w:val="left"/>
      <w:lvlText w:val="%1."/>
      <w:numFmt w:val="decimal"/>
      <w:start w:val="6"/>
    </w:lvl>
  </w:abstractNum>
  <w:abstractNum w:abstractNumId="16">
    <w:nsid w:val="8EDBDAB"/>
    <w:multiLevelType w:val="hybridMultilevel"/>
    <w:lvl w:ilvl="0">
      <w:lvlJc w:val="left"/>
      <w:lvlText w:val="%1."/>
      <w:numFmt w:val="decimal"/>
      <w:start w:val="7"/>
    </w:lvl>
  </w:abstractNum>
  <w:abstractNum w:abstractNumId="17">
    <w:nsid w:val="79838CB2"/>
    <w:multiLevelType w:val="hybridMultilevel"/>
    <w:lvl w:ilvl="0">
      <w:lvlJc w:val="left"/>
      <w:lvlText w:val="%1."/>
      <w:numFmt w:val="decimal"/>
      <w:start w:val="8"/>
    </w:lvl>
  </w:abstractNum>
  <w:abstractNum w:abstractNumId="18">
    <w:nsid w:val="4353D0CD"/>
    <w:multiLevelType w:val="hybridMultilevel"/>
    <w:lvl w:ilvl="0">
      <w:lvlJc w:val="left"/>
      <w:lvlText w:val="%1."/>
      <w:numFmt w:val="decimal"/>
      <w:start w:val="9"/>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2021-05-13T15:24:01Z</dcterms:created>
  <dcterms:modified xsi:type="dcterms:W3CDTF">2021-05-13T15:24:01Z</dcterms:modified>
</cp:coreProperties>
</file>